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CF730">
      <w:pPr>
        <w:pStyle w:val="8"/>
        <w:spacing w:before="60" w:line="280" w:lineRule="atLeast"/>
        <w:ind w:left="0"/>
        <w:jc w:val="left"/>
        <w:rPr>
          <w:b/>
          <w:sz w:val="18"/>
          <w:szCs w:val="18"/>
        </w:rPr>
      </w:pPr>
    </w:p>
    <w:p w14:paraId="4E56444E">
      <w:pPr>
        <w:pStyle w:val="8"/>
        <w:spacing w:before="60" w:line="280" w:lineRule="atLeast"/>
        <w:ind w:left="0"/>
        <w:jc w:val="left"/>
        <w:rPr>
          <w:b/>
          <w:sz w:val="18"/>
          <w:szCs w:val="18"/>
        </w:rPr>
      </w:pPr>
    </w:p>
    <w:p w14:paraId="0AF39051">
      <w:pPr>
        <w:pStyle w:val="8"/>
        <w:spacing w:before="60" w:line="280" w:lineRule="atLeast"/>
        <w:ind w:left="0"/>
        <w:jc w:val="left"/>
        <w:rPr>
          <w:b/>
          <w:sz w:val="18"/>
          <w:szCs w:val="18"/>
        </w:rPr>
      </w:pPr>
    </w:p>
    <w:p w14:paraId="2CAE8DCE">
      <w:pPr>
        <w:pStyle w:val="8"/>
        <w:spacing w:before="60" w:line="280" w:lineRule="atLeast"/>
        <w:ind w:left="0"/>
        <w:jc w:val="left"/>
        <w:rPr>
          <w:b/>
          <w:sz w:val="18"/>
          <w:szCs w:val="18"/>
        </w:rPr>
      </w:pPr>
    </w:p>
    <w:p w14:paraId="2C531970">
      <w:pPr>
        <w:pStyle w:val="8"/>
        <w:spacing w:before="60" w:line="280" w:lineRule="atLeast"/>
        <w:ind w:left="0"/>
        <w:jc w:val="center"/>
        <w:rPr>
          <w:sz w:val="18"/>
          <w:szCs w:val="18"/>
        </w:rPr>
      </w:pPr>
    </w:p>
    <w:p w14:paraId="74D11590">
      <w:pPr>
        <w:pStyle w:val="8"/>
        <w:spacing w:before="60" w:line="280" w:lineRule="atLeast"/>
        <w:ind w:left="0"/>
        <w:jc w:val="left"/>
        <w:rPr>
          <w:sz w:val="18"/>
          <w:szCs w:val="18"/>
        </w:rPr>
      </w:pPr>
    </w:p>
    <w:p w14:paraId="6609445B">
      <w:pPr>
        <w:pStyle w:val="8"/>
        <w:spacing w:before="60" w:line="280" w:lineRule="atLeast"/>
        <w:ind w:left="0"/>
        <w:jc w:val="left"/>
        <w:rPr>
          <w:sz w:val="18"/>
          <w:szCs w:val="18"/>
        </w:rPr>
      </w:pPr>
    </w:p>
    <w:p w14:paraId="2C72797F">
      <w:pPr>
        <w:pStyle w:val="8"/>
        <w:spacing w:before="60" w:line="280" w:lineRule="atLeast"/>
        <w:ind w:left="0"/>
        <w:jc w:val="left"/>
        <w:rPr>
          <w:sz w:val="18"/>
          <w:szCs w:val="18"/>
        </w:rPr>
      </w:pPr>
    </w:p>
    <w:p w14:paraId="3E4E7B1D">
      <w:pPr>
        <w:widowControl/>
        <w:overflowPunct w:val="0"/>
        <w:adjustRightInd w:val="0"/>
        <w:jc w:val="center"/>
        <w:textAlignment w:val="baseline"/>
        <w:rPr>
          <w:rFonts w:ascii="Times New Roman" w:hAnsi="Times New Roman" w:eastAsia="Times New Roman" w:cs="Times New Roman"/>
          <w:b/>
          <w:sz w:val="28"/>
          <w:szCs w:val="20"/>
          <w:lang w:eastAsia="pl-PL"/>
        </w:rPr>
      </w:pPr>
      <w:r>
        <w:rPr>
          <w:rFonts w:ascii="Times New Roman" w:hAnsi="Times New Roman" w:eastAsia="Times New Roman" w:cs="Times New Roman"/>
          <w:b/>
          <w:sz w:val="28"/>
          <w:szCs w:val="20"/>
          <w:lang w:eastAsia="pl-PL"/>
        </w:rPr>
        <w:t>D.08.03.01</w:t>
      </w:r>
    </w:p>
    <w:p w14:paraId="778989EA">
      <w:pPr>
        <w:pStyle w:val="8"/>
        <w:spacing w:before="60" w:line="280" w:lineRule="atLeast"/>
        <w:ind w:left="0"/>
        <w:jc w:val="left"/>
        <w:rPr>
          <w:b/>
          <w:sz w:val="18"/>
          <w:szCs w:val="18"/>
        </w:rPr>
      </w:pPr>
    </w:p>
    <w:p w14:paraId="2C8F151F">
      <w:pPr>
        <w:widowControl/>
        <w:overflowPunct w:val="0"/>
        <w:adjustRightInd w:val="0"/>
        <w:jc w:val="center"/>
        <w:textAlignment w:val="baseline"/>
        <w:rPr>
          <w:rFonts w:ascii="Times New Roman" w:hAnsi="Times New Roman" w:eastAsia="Times New Roman" w:cs="Times New Roman"/>
          <w:b/>
          <w:sz w:val="27"/>
          <w:szCs w:val="20"/>
          <w:lang w:eastAsia="pl-PL"/>
        </w:rPr>
      </w:pPr>
    </w:p>
    <w:p w14:paraId="6A414FA9">
      <w:pPr>
        <w:widowControl/>
        <w:overflowPunct w:val="0"/>
        <w:adjustRightInd w:val="0"/>
        <w:jc w:val="center"/>
        <w:textAlignment w:val="baseline"/>
        <w:rPr>
          <w:rFonts w:ascii="Times New Roman" w:hAnsi="Times New Roman" w:eastAsia="Times New Roman" w:cs="Times New Roman"/>
          <w:b/>
          <w:sz w:val="27"/>
          <w:szCs w:val="20"/>
          <w:lang w:eastAsia="pl-PL"/>
        </w:rPr>
      </w:pPr>
      <w:r>
        <w:rPr>
          <w:rFonts w:ascii="Times New Roman" w:hAnsi="Times New Roman" w:eastAsia="Times New Roman" w:cs="Times New Roman"/>
          <w:b/>
          <w:sz w:val="27"/>
          <w:szCs w:val="20"/>
          <w:lang w:eastAsia="pl-PL"/>
        </w:rPr>
        <w:t>OBRZEŻA BETONOWE</w:t>
      </w:r>
    </w:p>
    <w:p w14:paraId="6ABB63AC">
      <w:pPr>
        <w:spacing w:before="60" w:line="280" w:lineRule="atLeast"/>
        <w:jc w:val="center"/>
        <w:rPr>
          <w:sz w:val="18"/>
          <w:szCs w:val="18"/>
        </w:rPr>
      </w:pPr>
    </w:p>
    <w:p w14:paraId="0684DECB">
      <w:pPr>
        <w:spacing w:before="60" w:line="280" w:lineRule="atLeast"/>
        <w:jc w:val="center"/>
        <w:rPr>
          <w:sz w:val="18"/>
          <w:szCs w:val="18"/>
        </w:rPr>
      </w:pPr>
    </w:p>
    <w:p w14:paraId="79EAD0A5">
      <w:pPr>
        <w:spacing w:before="60" w:line="280" w:lineRule="atLeast"/>
        <w:jc w:val="center"/>
        <w:rPr>
          <w:sz w:val="18"/>
          <w:szCs w:val="18"/>
        </w:rPr>
      </w:pPr>
    </w:p>
    <w:p w14:paraId="3ADEA92F">
      <w:pPr>
        <w:spacing w:before="60" w:line="280" w:lineRule="atLeast"/>
        <w:jc w:val="center"/>
        <w:rPr>
          <w:sz w:val="18"/>
          <w:szCs w:val="18"/>
        </w:rPr>
      </w:pPr>
    </w:p>
    <w:p w14:paraId="0F02332A">
      <w:pPr>
        <w:spacing w:before="60" w:line="280" w:lineRule="atLeast"/>
        <w:jc w:val="center"/>
        <w:rPr>
          <w:sz w:val="18"/>
          <w:szCs w:val="18"/>
        </w:rPr>
      </w:pPr>
    </w:p>
    <w:p w14:paraId="08392C54">
      <w:pPr>
        <w:spacing w:before="60" w:line="280" w:lineRule="atLeast"/>
        <w:jc w:val="center"/>
        <w:rPr>
          <w:sz w:val="18"/>
          <w:szCs w:val="18"/>
        </w:rPr>
      </w:pPr>
    </w:p>
    <w:p w14:paraId="54C63807">
      <w:pPr>
        <w:spacing w:before="60" w:line="280" w:lineRule="atLeast"/>
        <w:jc w:val="center"/>
        <w:rPr>
          <w:sz w:val="18"/>
          <w:szCs w:val="18"/>
        </w:rPr>
      </w:pPr>
    </w:p>
    <w:p w14:paraId="285A5A84">
      <w:pPr>
        <w:spacing w:before="60" w:line="280" w:lineRule="atLeast"/>
        <w:jc w:val="center"/>
        <w:rPr>
          <w:sz w:val="18"/>
          <w:szCs w:val="18"/>
        </w:rPr>
      </w:pPr>
    </w:p>
    <w:p w14:paraId="17A6D8CB">
      <w:pPr>
        <w:spacing w:before="60" w:line="280" w:lineRule="atLeast"/>
        <w:jc w:val="center"/>
        <w:rPr>
          <w:sz w:val="18"/>
          <w:szCs w:val="18"/>
        </w:rPr>
      </w:pPr>
    </w:p>
    <w:p w14:paraId="741F7573">
      <w:pPr>
        <w:spacing w:before="60" w:line="280" w:lineRule="atLeast"/>
        <w:jc w:val="center"/>
        <w:rPr>
          <w:sz w:val="18"/>
          <w:szCs w:val="18"/>
        </w:rPr>
      </w:pPr>
    </w:p>
    <w:p w14:paraId="24591EB4">
      <w:pPr>
        <w:spacing w:before="60" w:line="280" w:lineRule="atLeast"/>
        <w:jc w:val="center"/>
        <w:rPr>
          <w:sz w:val="18"/>
          <w:szCs w:val="18"/>
        </w:rPr>
      </w:pPr>
    </w:p>
    <w:p w14:paraId="63D73918">
      <w:pPr>
        <w:spacing w:before="60" w:line="280" w:lineRule="atLeast"/>
        <w:jc w:val="center"/>
        <w:rPr>
          <w:sz w:val="18"/>
          <w:szCs w:val="18"/>
        </w:rPr>
      </w:pPr>
    </w:p>
    <w:p w14:paraId="2CA49750">
      <w:pPr>
        <w:spacing w:before="60" w:line="280" w:lineRule="atLeast"/>
        <w:jc w:val="center"/>
        <w:rPr>
          <w:sz w:val="18"/>
          <w:szCs w:val="18"/>
        </w:rPr>
      </w:pPr>
    </w:p>
    <w:p w14:paraId="6A36B8B6">
      <w:pPr>
        <w:spacing w:before="60" w:line="280" w:lineRule="atLeast"/>
        <w:jc w:val="center"/>
        <w:rPr>
          <w:sz w:val="18"/>
          <w:szCs w:val="18"/>
        </w:rPr>
      </w:pPr>
    </w:p>
    <w:p w14:paraId="293F6982">
      <w:pPr>
        <w:spacing w:before="60" w:line="280" w:lineRule="atLeast"/>
        <w:jc w:val="center"/>
        <w:rPr>
          <w:sz w:val="18"/>
          <w:szCs w:val="18"/>
        </w:rPr>
      </w:pPr>
    </w:p>
    <w:p w14:paraId="7350A913">
      <w:pPr>
        <w:spacing w:before="60" w:line="280" w:lineRule="atLeast"/>
        <w:jc w:val="center"/>
        <w:rPr>
          <w:sz w:val="18"/>
          <w:szCs w:val="18"/>
        </w:rPr>
      </w:pPr>
    </w:p>
    <w:p w14:paraId="0E3DA2B4">
      <w:pPr>
        <w:spacing w:before="60" w:line="280" w:lineRule="atLeast"/>
        <w:jc w:val="center"/>
        <w:rPr>
          <w:sz w:val="18"/>
          <w:szCs w:val="18"/>
        </w:rPr>
      </w:pPr>
    </w:p>
    <w:p w14:paraId="72715BC5">
      <w:pPr>
        <w:spacing w:before="60" w:line="280" w:lineRule="atLeast"/>
        <w:jc w:val="center"/>
        <w:rPr>
          <w:sz w:val="18"/>
          <w:szCs w:val="18"/>
        </w:rPr>
      </w:pPr>
    </w:p>
    <w:p w14:paraId="51AC8246">
      <w:pPr>
        <w:spacing w:before="60" w:line="280" w:lineRule="atLeast"/>
        <w:jc w:val="center"/>
        <w:rPr>
          <w:sz w:val="18"/>
          <w:szCs w:val="18"/>
        </w:rPr>
      </w:pPr>
    </w:p>
    <w:p w14:paraId="7609B536">
      <w:pPr>
        <w:spacing w:before="60" w:line="280" w:lineRule="atLeast"/>
        <w:jc w:val="center"/>
        <w:rPr>
          <w:sz w:val="18"/>
          <w:szCs w:val="18"/>
        </w:rPr>
      </w:pPr>
    </w:p>
    <w:p w14:paraId="5BEB9884">
      <w:pPr>
        <w:spacing w:before="60" w:line="280" w:lineRule="atLeast"/>
        <w:jc w:val="center"/>
        <w:rPr>
          <w:sz w:val="18"/>
          <w:szCs w:val="18"/>
        </w:rPr>
      </w:pPr>
    </w:p>
    <w:p w14:paraId="3B79463C">
      <w:pPr>
        <w:spacing w:before="60" w:line="280" w:lineRule="atLeast"/>
        <w:jc w:val="center"/>
        <w:rPr>
          <w:sz w:val="18"/>
          <w:szCs w:val="18"/>
        </w:rPr>
      </w:pPr>
    </w:p>
    <w:p w14:paraId="7573EA62">
      <w:pPr>
        <w:spacing w:before="60" w:line="280" w:lineRule="atLeast"/>
        <w:jc w:val="center"/>
        <w:rPr>
          <w:sz w:val="18"/>
          <w:szCs w:val="18"/>
        </w:rPr>
      </w:pPr>
    </w:p>
    <w:p w14:paraId="0896997D">
      <w:pPr>
        <w:spacing w:before="60" w:line="280" w:lineRule="atLeast"/>
        <w:jc w:val="center"/>
        <w:rPr>
          <w:sz w:val="18"/>
          <w:szCs w:val="18"/>
        </w:rPr>
      </w:pPr>
    </w:p>
    <w:p w14:paraId="419A465D">
      <w:pPr>
        <w:spacing w:before="60" w:line="280" w:lineRule="atLeast"/>
        <w:jc w:val="center"/>
        <w:rPr>
          <w:sz w:val="18"/>
          <w:szCs w:val="18"/>
        </w:rPr>
      </w:pPr>
    </w:p>
    <w:p w14:paraId="5824764A">
      <w:pPr>
        <w:spacing w:before="60" w:line="280" w:lineRule="atLeast"/>
        <w:jc w:val="center"/>
        <w:rPr>
          <w:sz w:val="18"/>
          <w:szCs w:val="18"/>
        </w:rPr>
      </w:pPr>
    </w:p>
    <w:p w14:paraId="427B7586">
      <w:pPr>
        <w:spacing w:before="60" w:line="280" w:lineRule="atLeast"/>
        <w:jc w:val="center"/>
        <w:rPr>
          <w:sz w:val="18"/>
          <w:szCs w:val="18"/>
        </w:rPr>
      </w:pPr>
    </w:p>
    <w:p w14:paraId="2E4C1012">
      <w:pPr>
        <w:spacing w:before="60" w:line="280" w:lineRule="atLeast"/>
        <w:jc w:val="center"/>
        <w:rPr>
          <w:sz w:val="18"/>
          <w:szCs w:val="18"/>
        </w:rPr>
      </w:pPr>
    </w:p>
    <w:p w14:paraId="6D385B7B">
      <w:pPr>
        <w:spacing w:before="60" w:line="280" w:lineRule="atLeast"/>
        <w:jc w:val="center"/>
        <w:rPr>
          <w:sz w:val="18"/>
          <w:szCs w:val="18"/>
        </w:rPr>
      </w:pPr>
    </w:p>
    <w:p w14:paraId="7203DB39">
      <w:pPr>
        <w:spacing w:before="60" w:line="280" w:lineRule="atLeast"/>
        <w:jc w:val="center"/>
        <w:rPr>
          <w:sz w:val="18"/>
          <w:szCs w:val="18"/>
        </w:rPr>
      </w:pPr>
    </w:p>
    <w:p w14:paraId="576DB1A0">
      <w:pPr>
        <w:spacing w:before="60" w:line="280" w:lineRule="atLeast"/>
        <w:jc w:val="center"/>
        <w:rPr>
          <w:sz w:val="18"/>
          <w:szCs w:val="18"/>
        </w:rPr>
      </w:pPr>
    </w:p>
    <w:p w14:paraId="6EA6F7AA">
      <w:pPr>
        <w:spacing w:before="60" w:line="280" w:lineRule="atLeast"/>
        <w:jc w:val="center"/>
        <w:rPr>
          <w:sz w:val="18"/>
          <w:szCs w:val="18"/>
        </w:rPr>
      </w:pPr>
    </w:p>
    <w:p w14:paraId="55702188">
      <w:pPr>
        <w:spacing w:before="60" w:line="280" w:lineRule="atLeast"/>
        <w:jc w:val="center"/>
        <w:rPr>
          <w:sz w:val="18"/>
          <w:szCs w:val="18"/>
        </w:rPr>
      </w:pPr>
    </w:p>
    <w:p w14:paraId="3E9FA7A4">
      <w:pPr>
        <w:spacing w:before="60" w:line="280" w:lineRule="atLeast"/>
        <w:jc w:val="center"/>
        <w:rPr>
          <w:sz w:val="18"/>
          <w:szCs w:val="18"/>
        </w:rPr>
      </w:pPr>
    </w:p>
    <w:p w14:paraId="62B7D350">
      <w:pPr>
        <w:spacing w:before="60" w:line="280" w:lineRule="atLeast"/>
        <w:jc w:val="center"/>
        <w:rPr>
          <w:sz w:val="18"/>
          <w:szCs w:val="18"/>
        </w:rPr>
      </w:pPr>
    </w:p>
    <w:p w14:paraId="1523CC23">
      <w:pPr>
        <w:spacing w:before="60" w:line="280" w:lineRule="atLeast"/>
        <w:jc w:val="center"/>
        <w:rPr>
          <w:sz w:val="18"/>
          <w:szCs w:val="18"/>
        </w:rPr>
      </w:pPr>
    </w:p>
    <w:p w14:paraId="3885F6F3">
      <w:pPr>
        <w:spacing w:before="60" w:line="280" w:lineRule="atLeast"/>
        <w:jc w:val="center"/>
        <w:rPr>
          <w:sz w:val="18"/>
          <w:szCs w:val="18"/>
        </w:rPr>
      </w:pPr>
    </w:p>
    <w:p w14:paraId="120640B5">
      <w:pPr>
        <w:spacing w:before="60" w:line="280" w:lineRule="atLeast"/>
        <w:jc w:val="center"/>
        <w:rPr>
          <w:sz w:val="18"/>
          <w:szCs w:val="18"/>
        </w:rPr>
      </w:pPr>
    </w:p>
    <w:p w14:paraId="5B41948C">
      <w:pPr>
        <w:spacing w:before="60" w:line="280" w:lineRule="atLeast"/>
        <w:jc w:val="center"/>
        <w:rPr>
          <w:sz w:val="18"/>
          <w:szCs w:val="18"/>
        </w:rPr>
      </w:pPr>
    </w:p>
    <w:p w14:paraId="1E0B0593">
      <w:pPr>
        <w:spacing w:before="60" w:line="280" w:lineRule="atLeast"/>
        <w:jc w:val="center"/>
        <w:rPr>
          <w:sz w:val="18"/>
          <w:szCs w:val="18"/>
        </w:rPr>
      </w:pPr>
    </w:p>
    <w:p w14:paraId="1574E71A">
      <w:pPr>
        <w:spacing w:before="60" w:line="280" w:lineRule="atLeast"/>
        <w:jc w:val="center"/>
        <w:rPr>
          <w:sz w:val="18"/>
          <w:szCs w:val="18"/>
        </w:rPr>
      </w:pPr>
    </w:p>
    <w:p w14:paraId="475F005D">
      <w:pPr>
        <w:spacing w:before="60" w:line="280" w:lineRule="atLeast"/>
        <w:jc w:val="center"/>
        <w:rPr>
          <w:sz w:val="18"/>
          <w:szCs w:val="18"/>
        </w:rPr>
      </w:pPr>
    </w:p>
    <w:p w14:paraId="0636FF42">
      <w:pPr>
        <w:spacing w:before="60" w:line="280" w:lineRule="atLeast"/>
        <w:jc w:val="center"/>
        <w:rPr>
          <w:sz w:val="18"/>
          <w:szCs w:val="18"/>
        </w:rPr>
      </w:pPr>
    </w:p>
    <w:p w14:paraId="3915E886">
      <w:pPr>
        <w:spacing w:before="60" w:line="280" w:lineRule="atLeast"/>
        <w:jc w:val="center"/>
        <w:rPr>
          <w:sz w:val="18"/>
          <w:szCs w:val="18"/>
        </w:rPr>
      </w:pPr>
    </w:p>
    <w:p w14:paraId="0B79EBDC">
      <w:pPr>
        <w:jc w:val="center"/>
        <w:rPr>
          <w:sz w:val="19"/>
        </w:rPr>
      </w:pPr>
    </w:p>
    <w:p w14:paraId="18761134">
      <w:pPr>
        <w:spacing w:before="60" w:line="280" w:lineRule="atLeast"/>
        <w:jc w:val="center"/>
        <w:rPr>
          <w:sz w:val="18"/>
          <w:szCs w:val="18"/>
        </w:rPr>
        <w:sectPr>
          <w:type w:val="continuous"/>
          <w:pgSz w:w="11910" w:h="16840"/>
          <w:pgMar w:top="1134" w:right="1134" w:bottom="1418" w:left="1134" w:header="454" w:footer="284" w:gutter="0"/>
          <w:cols w:space="708" w:num="1"/>
        </w:sectPr>
      </w:pPr>
    </w:p>
    <w:p w14:paraId="052EC983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0" w:name="_bookmark0"/>
      <w:bookmarkEnd w:id="0"/>
      <w:r>
        <w:rPr>
          <w:rFonts w:ascii="Times New Roman" w:hAnsi="Times New Roman" w:cs="Times New Roman"/>
          <w:caps/>
        </w:rPr>
        <w:t>WSTĘP</w:t>
      </w:r>
    </w:p>
    <w:p w14:paraId="7F071A04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" w:name="_bookmark1"/>
      <w:bookmarkEnd w:id="1"/>
      <w:r>
        <w:rPr>
          <w:rFonts w:ascii="Times New Roman" w:hAnsi="Times New Roman" w:cs="Times New Roman"/>
        </w:rPr>
        <w:t>Przedmiot ST</w:t>
      </w:r>
    </w:p>
    <w:p w14:paraId="7DC3C2ED">
      <w:pPr>
        <w:pStyle w:val="8"/>
        <w:tabs>
          <w:tab w:val="left" w:pos="426"/>
        </w:tabs>
        <w:spacing w:before="60" w:line="280" w:lineRule="atLeas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Przedmiotem niniejszej Specyfikacji Technicznej Wykonania i Odbioru Robót Budowlanych (STWiORB) są wymagania dotyczące wykonania i odbioru robót związanych z zabudową obrzeży betonowych w ramach inwestycji pn.: „Remont drogi gminnej 120711K (ul. Miechowska) w km od 1+736,40 do 1+996,40 w miejscowości Wolbrom, Gmina Wolbrom”.</w:t>
      </w:r>
      <w:bookmarkStart w:id="32" w:name="_GoBack"/>
      <w:bookmarkEnd w:id="32"/>
      <w:r>
        <w:rPr>
          <w:rFonts w:ascii="Times New Roman" w:hAnsi="Times New Roman" w:cs="Times New Roman"/>
        </w:rPr>
        <w:t>.</w:t>
      </w:r>
    </w:p>
    <w:p w14:paraId="3C6E9015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" w:name="_bookmark3"/>
      <w:bookmarkEnd w:id="2"/>
      <w:r>
        <w:rPr>
          <w:rFonts w:ascii="Times New Roman" w:hAnsi="Times New Roman" w:cs="Times New Roman"/>
        </w:rPr>
        <w:t>Zakres stosowania ST</w:t>
      </w:r>
    </w:p>
    <w:p w14:paraId="0ECC5047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Specyfikacja techniczna (ST) jest stosowana jako dokument kontraktowy przy  realizacji robót wymienionych w punkcie 1.1.</w:t>
      </w:r>
    </w:p>
    <w:p w14:paraId="67054084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cs="Arial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Zakres rzeczowy obejmuje:  </w:t>
      </w:r>
    </w:p>
    <w:p w14:paraId="7DAB182F">
      <w:pPr>
        <w:pStyle w:val="18"/>
        <w:numPr>
          <w:ilvl w:val="0"/>
          <w:numId w:val="2"/>
        </w:numPr>
        <w:tabs>
          <w:tab w:val="left" w:pos="426"/>
        </w:tabs>
        <w:autoSpaceDE/>
        <w:autoSpaceDN/>
        <w:spacing w:before="60" w:line="280" w:lineRule="atLeast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ustawienie obrzeży betonowych 8x30x100 cm na podsypce cementowo-piaskowej 1:4.  </w:t>
      </w:r>
    </w:p>
    <w:p w14:paraId="5EA35C0D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Szczegółowa lokalizacja ustawienia obrzeży betonowych zgodnie z Dokumentacją Projektową.  </w:t>
      </w:r>
    </w:p>
    <w:p w14:paraId="1E2630E1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3" w:name="_Toc73323908"/>
      <w:r>
        <w:rPr>
          <w:rFonts w:ascii="Times New Roman" w:hAnsi="Times New Roman" w:cs="Times New Roman"/>
        </w:rPr>
        <w:t>Określenia podstawowe</w:t>
      </w:r>
      <w:bookmarkEnd w:id="3"/>
    </w:p>
    <w:p w14:paraId="67C99FB7">
      <w:pPr>
        <w:pStyle w:val="18"/>
        <w:numPr>
          <w:ilvl w:val="2"/>
          <w:numId w:val="1"/>
        </w:numPr>
        <w:tabs>
          <w:tab w:val="left" w:pos="426"/>
        </w:tabs>
        <w:spacing w:before="60" w:line="280" w:lineRule="atLeast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Obrzeża chodnikowe </w:t>
      </w:r>
      <w:r>
        <w:rPr>
          <w:rFonts w:ascii="Times New Roman" w:hAnsi="Times New Roman" w:cs="Times New Roman"/>
          <w:sz w:val="20"/>
          <w:szCs w:val="20"/>
        </w:rPr>
        <w:t>– prefabrykowane belki betonowe rozgraniczające jednostronnie lub  dwustronnie ciągi komunikacyjne od terenów nie przeznaczonych do komunikacji.</w:t>
      </w:r>
    </w:p>
    <w:p w14:paraId="43F10D58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Pozostałe określenia są zgodne z obowiązującymi odpowiednimi normami i z definicjami  podanymi w STWiORB DM.00.00.00. „Wymagania ogólne” pkt. 1.4.  </w:t>
      </w:r>
    </w:p>
    <w:p w14:paraId="5E4FB923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4" w:name="_Toc73323909"/>
      <w:r>
        <w:rPr>
          <w:rFonts w:ascii="Times New Roman" w:hAnsi="Times New Roman" w:cs="Times New Roman"/>
        </w:rPr>
        <w:t>Ogólne wymagania dotyczące Robót</w:t>
      </w:r>
      <w:bookmarkEnd w:id="4"/>
    </w:p>
    <w:p w14:paraId="632D6A2A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wymagania dotyczące robót podano w STWiORB DM.00.00.00 „Wymagania Ogólne”.  </w:t>
      </w:r>
    </w:p>
    <w:p w14:paraId="7E49823A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Wykonawca Robót jest odpowiedzialny za jakość ich wykonania oraz za zgodność z Programem  funkcjonalno-użytkowym, STWiORB i poleceniami Inżyniera.  </w:t>
      </w:r>
    </w:p>
    <w:p w14:paraId="57091866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5" w:name="_Toc73323910"/>
      <w:r>
        <w:rPr>
          <w:rFonts w:ascii="Times New Roman" w:hAnsi="Times New Roman" w:cs="Times New Roman"/>
          <w:caps/>
        </w:rPr>
        <w:t>Materiały</w:t>
      </w:r>
      <w:bookmarkEnd w:id="5"/>
    </w:p>
    <w:p w14:paraId="26957EE9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6" w:name="_Toc73323911"/>
      <w:r>
        <w:rPr>
          <w:rFonts w:ascii="Times New Roman" w:hAnsi="Times New Roman" w:cs="Times New Roman"/>
        </w:rPr>
        <w:t>Ogólne wymagania dotyczące materiałów</w:t>
      </w:r>
      <w:bookmarkEnd w:id="6"/>
    </w:p>
    <w:p w14:paraId="3800A3B2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wymagania dotyczące materiałów, ich pozyskiwania i składowania podano w STWiORB  DM.00.00.00 "Wymagania ogólne". Wszystkie materiały użyte do budowy powinny pochodzić tylko ze źródeł uzgodnionych i zatwierdzonych przez Inżyniera. Źródła materiałów powinny być  wybrane przez Wykonawcę z wyprzedzeniem przed rozpoczęciem robót nie później niż 3 tygodnie. Do każdej ilości jednorazowo wysyłanego materiału dołączony powinien być dokument  potwierdzający jego jakość.  </w:t>
      </w:r>
    </w:p>
    <w:p w14:paraId="2C3555BF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7" w:name="_Toc73323912"/>
      <w:r>
        <w:rPr>
          <w:rFonts w:ascii="Times New Roman" w:hAnsi="Times New Roman" w:cs="Times New Roman"/>
        </w:rPr>
        <w:t>Obrzeża betonowe wg PN-EN 1340</w:t>
      </w:r>
      <w:bookmarkEnd w:id="7"/>
    </w:p>
    <w:p w14:paraId="214205D1">
      <w:pPr>
        <w:pStyle w:val="18"/>
        <w:numPr>
          <w:ilvl w:val="0"/>
          <w:numId w:val="3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Odporność na zamrażanie/rozmrażanie z udziałem soli odladzających: klasa 3;</w:t>
      </w:r>
    </w:p>
    <w:p w14:paraId="03F02425">
      <w:pPr>
        <w:pStyle w:val="18"/>
        <w:numPr>
          <w:ilvl w:val="0"/>
          <w:numId w:val="3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Wytrzymałość na zginanie wg PN-EN 1339: klasa 3;</w:t>
      </w:r>
    </w:p>
    <w:p w14:paraId="333DD121">
      <w:pPr>
        <w:pStyle w:val="18"/>
        <w:numPr>
          <w:ilvl w:val="0"/>
          <w:numId w:val="3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Odporność na ścieralnie: klasa 4;</w:t>
      </w:r>
    </w:p>
    <w:p w14:paraId="7EE84F47">
      <w:pPr>
        <w:pStyle w:val="18"/>
        <w:numPr>
          <w:ilvl w:val="0"/>
          <w:numId w:val="3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Nasiąkliwość: do 5% (w przypadku niespełnienia wymagania dla nasiąkliwości, parametrem decydującym o trwałości betonu będzie odporność na działanie środków odladzających).</w:t>
      </w:r>
    </w:p>
    <w:p w14:paraId="5260A732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Wymiary nominalne zadeklarowane przez Producenta powinny być zgodne projektowanymi, tj. 8x30x100 cm. Dopuszczalne odchyłki wymiarów nominalnych powinny być zgodne z wymaganiami podanymi w PN-EN 1340, przytoczonymi w Tabeli 1.  Powierzchnia obrzeży nie powinna mieć rys i odprysków.  </w:t>
      </w:r>
    </w:p>
    <w:p w14:paraId="175415B0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Tabela 1. Wymagania wobec obrzeży betonowych do stosowania na zewnętrznych  </w:t>
      </w:r>
      <w:r>
        <w:rPr>
          <w:rFonts w:ascii="Times New Roman" w:hAnsi="Times New Roman" w:cs="Times New Roman"/>
          <w:sz w:val="20"/>
          <w:szCs w:val="20"/>
        </w:rPr>
        <w:br w:type="textWrapping" w:clear="all"/>
      </w:r>
      <w:r>
        <w:rPr>
          <w:rFonts w:ascii="Times New Roman" w:hAnsi="Times New Roman" w:cs="Times New Roman"/>
          <w:sz w:val="20"/>
          <w:szCs w:val="20"/>
        </w:rPr>
        <w:t>nawierzchniach, mających kontakt z solą odladzającą w warunkach mrozu</w:t>
      </w: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3880"/>
        <w:gridCol w:w="716"/>
        <w:gridCol w:w="1464"/>
        <w:gridCol w:w="1465"/>
        <w:gridCol w:w="1465"/>
      </w:tblGrid>
      <w:tr w14:paraId="5A2E7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644" w:type="dxa"/>
            <w:vAlign w:val="center"/>
          </w:tcPr>
          <w:p w14:paraId="44CDBDD5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80" w:type="dxa"/>
            <w:vAlign w:val="center"/>
          </w:tcPr>
          <w:p w14:paraId="00C5635D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Cecha</w:t>
            </w:r>
          </w:p>
        </w:tc>
        <w:tc>
          <w:tcPr>
            <w:tcW w:w="716" w:type="dxa"/>
            <w:vAlign w:val="center"/>
          </w:tcPr>
          <w:p w14:paraId="71D6240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Zał.</w:t>
            </w:r>
          </w:p>
        </w:tc>
        <w:tc>
          <w:tcPr>
            <w:tcW w:w="4394" w:type="dxa"/>
            <w:gridSpan w:val="3"/>
            <w:vAlign w:val="center"/>
          </w:tcPr>
          <w:p w14:paraId="1AA8CBFC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Wymaganie</w:t>
            </w:r>
          </w:p>
        </w:tc>
      </w:tr>
      <w:tr w14:paraId="57CF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Align w:val="center"/>
          </w:tcPr>
          <w:p w14:paraId="0CCA6C69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990" w:type="dxa"/>
            <w:gridSpan w:val="5"/>
            <w:vAlign w:val="center"/>
          </w:tcPr>
          <w:p w14:paraId="48E299B6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Kształt i wymiary</w:t>
            </w:r>
          </w:p>
        </w:tc>
      </w:tr>
      <w:tr w14:paraId="5AAFF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restart"/>
            <w:vAlign w:val="center"/>
          </w:tcPr>
          <w:p w14:paraId="193B264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880" w:type="dxa"/>
            <w:vAlign w:val="center"/>
          </w:tcPr>
          <w:p w14:paraId="6B75B6CD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Dopuszczalne odchyłki w mm od zadeklarowanych wymiarów obrzeża (różnica pomiędzy wynikami pomiarów tego samego obrzeża nie powinna przekraczać 5 mm)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16" w:type="dxa"/>
            <w:vMerge w:val="restart"/>
            <w:vAlign w:val="center"/>
          </w:tcPr>
          <w:p w14:paraId="41D34227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4" w:type="dxa"/>
            <w:vAlign w:val="center"/>
          </w:tcPr>
          <w:p w14:paraId="62FCAB4B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Dopuszczalna tolerancja [w %]</w:t>
            </w:r>
          </w:p>
        </w:tc>
        <w:tc>
          <w:tcPr>
            <w:tcW w:w="1465" w:type="dxa"/>
            <w:vAlign w:val="center"/>
          </w:tcPr>
          <w:p w14:paraId="2EE26D55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Maksymalna dodatnia odchyłka [w mm]</w:t>
            </w:r>
          </w:p>
        </w:tc>
        <w:tc>
          <w:tcPr>
            <w:tcW w:w="1465" w:type="dxa"/>
            <w:vAlign w:val="center"/>
          </w:tcPr>
          <w:p w14:paraId="2E58EA14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Maksymalna ujemna odchyłka [w mm]</w:t>
            </w:r>
          </w:p>
        </w:tc>
      </w:tr>
      <w:tr w14:paraId="5A502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1992B9BC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512BC345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Długość</w:t>
            </w:r>
          </w:p>
        </w:tc>
        <w:tc>
          <w:tcPr>
            <w:tcW w:w="716" w:type="dxa"/>
            <w:vMerge w:val="continue"/>
            <w:vAlign w:val="center"/>
          </w:tcPr>
          <w:p w14:paraId="43B7E6AD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270C2DD3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65" w:type="dxa"/>
            <w:vAlign w:val="center"/>
          </w:tcPr>
          <w:p w14:paraId="3E1F9822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</w:tc>
        <w:tc>
          <w:tcPr>
            <w:tcW w:w="1465" w:type="dxa"/>
            <w:vAlign w:val="center"/>
          </w:tcPr>
          <w:p w14:paraId="3FAB218C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</w:tr>
      <w:tr w14:paraId="6475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04D47D73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49114843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Powierzchnia</w:t>
            </w:r>
          </w:p>
        </w:tc>
        <w:tc>
          <w:tcPr>
            <w:tcW w:w="716" w:type="dxa"/>
            <w:vMerge w:val="continue"/>
            <w:vAlign w:val="center"/>
          </w:tcPr>
          <w:p w14:paraId="527B0A92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252E465A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465" w:type="dxa"/>
            <w:vAlign w:val="center"/>
          </w:tcPr>
          <w:p w14:paraId="4EADB4D9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465" w:type="dxa"/>
            <w:vAlign w:val="center"/>
          </w:tcPr>
          <w:p w14:paraId="075A491A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</w:tr>
      <w:tr w14:paraId="2239C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3CFA47E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4118CFF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Pozostałe części</w:t>
            </w:r>
          </w:p>
        </w:tc>
        <w:tc>
          <w:tcPr>
            <w:tcW w:w="716" w:type="dxa"/>
            <w:vMerge w:val="continue"/>
            <w:vAlign w:val="center"/>
          </w:tcPr>
          <w:p w14:paraId="5AB6D8D7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67611DDA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</w:p>
        </w:tc>
        <w:tc>
          <w:tcPr>
            <w:tcW w:w="1465" w:type="dxa"/>
            <w:vAlign w:val="center"/>
          </w:tcPr>
          <w:p w14:paraId="01BDB05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</w:tc>
        <w:tc>
          <w:tcPr>
            <w:tcW w:w="1465" w:type="dxa"/>
            <w:vAlign w:val="center"/>
          </w:tcPr>
          <w:p w14:paraId="0D1834B5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</w:tr>
      <w:tr w14:paraId="46694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restart"/>
            <w:vAlign w:val="center"/>
          </w:tcPr>
          <w:p w14:paraId="60B360E8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880" w:type="dxa"/>
            <w:vAlign w:val="center"/>
          </w:tcPr>
          <w:p w14:paraId="47135DFC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Odchyłki płaskości i pofalowania przy długości pomiarowej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16" w:type="dxa"/>
            <w:vMerge w:val="restart"/>
            <w:vAlign w:val="center"/>
          </w:tcPr>
          <w:p w14:paraId="60E0579B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394" w:type="dxa"/>
            <w:gridSpan w:val="3"/>
            <w:vAlign w:val="center"/>
          </w:tcPr>
          <w:p w14:paraId="3E8A4667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Maksymalna odchyłka [w mm]</w:t>
            </w:r>
          </w:p>
        </w:tc>
      </w:tr>
      <w:tr w14:paraId="25A9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7512167B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2C358CB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mm</w:t>
            </w:r>
          </w:p>
        </w:tc>
        <w:tc>
          <w:tcPr>
            <w:tcW w:w="716" w:type="dxa"/>
            <w:vMerge w:val="continue"/>
            <w:vAlign w:val="center"/>
          </w:tcPr>
          <w:p w14:paraId="6A091E2C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1DC507C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1,5</w:t>
            </w:r>
          </w:p>
        </w:tc>
      </w:tr>
      <w:tr w14:paraId="58F44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411B1E14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5CDE49AE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 mm</w:t>
            </w:r>
          </w:p>
        </w:tc>
        <w:tc>
          <w:tcPr>
            <w:tcW w:w="716" w:type="dxa"/>
            <w:vMerge w:val="continue"/>
            <w:vAlign w:val="center"/>
          </w:tcPr>
          <w:p w14:paraId="4ADBDA8D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026F2442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2,0</w:t>
            </w:r>
          </w:p>
        </w:tc>
      </w:tr>
      <w:tr w14:paraId="5568A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107CA792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307F0C87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mm</w:t>
            </w:r>
          </w:p>
        </w:tc>
        <w:tc>
          <w:tcPr>
            <w:tcW w:w="716" w:type="dxa"/>
            <w:vMerge w:val="continue"/>
            <w:vAlign w:val="center"/>
          </w:tcPr>
          <w:p w14:paraId="415C45C1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8B55990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2,5</w:t>
            </w:r>
          </w:p>
        </w:tc>
      </w:tr>
      <w:tr w14:paraId="683B4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644" w:type="dxa"/>
            <w:vMerge w:val="continue"/>
            <w:vAlign w:val="center"/>
          </w:tcPr>
          <w:p w14:paraId="3F42AB39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0" w:type="dxa"/>
            <w:vAlign w:val="center"/>
          </w:tcPr>
          <w:p w14:paraId="3797A3A9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 mm</w:t>
            </w:r>
          </w:p>
        </w:tc>
        <w:tc>
          <w:tcPr>
            <w:tcW w:w="716" w:type="dxa"/>
            <w:vMerge w:val="continue"/>
            <w:vAlign w:val="center"/>
          </w:tcPr>
          <w:p w14:paraId="0B4962C7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7BB69181">
            <w:pPr>
              <w:keepNext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B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4,0</w:t>
            </w:r>
          </w:p>
        </w:tc>
      </w:tr>
    </w:tbl>
    <w:p w14:paraId="33AA0F8B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8" w:name="_Toc73323913"/>
      <w:r>
        <w:rPr>
          <w:rFonts w:ascii="Times New Roman" w:hAnsi="Times New Roman" w:cs="Times New Roman"/>
        </w:rPr>
        <w:t>Materiały do podsypki i wypełnienia szczelin pomiędzy ściankami bocznymi</w:t>
      </w:r>
      <w:bookmarkEnd w:id="8"/>
    </w:p>
    <w:p w14:paraId="0F0A0311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Na podsypkę cementowo-piaskową należy stosować następujące materiały:  </w:t>
      </w:r>
    </w:p>
    <w:p w14:paraId="2EADFC21">
      <w:pPr>
        <w:pStyle w:val="18"/>
        <w:numPr>
          <w:ilvl w:val="0"/>
          <w:numId w:val="4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cement powszechnego użytku wg. PN-EN 197-1,  </w:t>
      </w:r>
    </w:p>
    <w:p w14:paraId="1AE023BB">
      <w:pPr>
        <w:pStyle w:val="18"/>
        <w:numPr>
          <w:ilvl w:val="0"/>
          <w:numId w:val="4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kruszywo drobne 0/2, 0/4 lub 0/5 wg. normy PN-EN 13242 kategorii uziarnienia G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>80, zawartości pyłów f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10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 </w:t>
      </w:r>
    </w:p>
    <w:p w14:paraId="05433402">
      <w:pPr>
        <w:pStyle w:val="18"/>
        <w:numPr>
          <w:ilvl w:val="0"/>
          <w:numId w:val="4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kruszywo 1/4, 2/5 lub 2/8, wg. normy PN-EN 13242 kategorii uziarnienia G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C</w:t>
      </w:r>
      <w:r>
        <w:rPr>
          <w:rFonts w:ascii="Times New Roman" w:hAnsi="Times New Roman" w:cs="Times New Roman"/>
          <w:color w:val="000000"/>
          <w:sz w:val="20"/>
          <w:szCs w:val="20"/>
        </w:rPr>
        <w:t>80/20, zawartości pyłów f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deklarowana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(max. do 10% pyłów),  </w:t>
      </w:r>
    </w:p>
    <w:p w14:paraId="3119276D">
      <w:pPr>
        <w:pStyle w:val="18"/>
        <w:numPr>
          <w:ilvl w:val="0"/>
          <w:numId w:val="4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woda zgodna z normą PN-EN 1008 (bez badań laboratoryjnych można stosować wodę wodociągową pitną).  </w:t>
      </w:r>
    </w:p>
    <w:p w14:paraId="1B7969EF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Zalecane proporcje mieszania cementu i kruszywa to 1:4 (w stosunku wagowym).  </w:t>
      </w:r>
    </w:p>
    <w:p w14:paraId="00AE1435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Kruszywo nie może być zanieczyszczone ciałami obcymi takimi jak: trawa, szczątki korzeni, konarów, szkło, plastik, grudki gliny.  </w:t>
      </w:r>
    </w:p>
    <w:p w14:paraId="5CAF0F01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Do wypełnienia szczelin należy stosować:  </w:t>
      </w:r>
    </w:p>
    <w:p w14:paraId="6CF6B555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mieszankę cementowo-piaskową w stosunku 1:2 z cementu powszechnego użytku klasy 32,5N wg PN-EN 197-1 i z kruszywa drobnego 0/2 wg normy PN-EN 13242kategorii uziarnienia G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>80, zawartości pyłów f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spełniającego wymagania PN-EN 13139,wody wg PN-EN 1008,  </w:t>
      </w:r>
    </w:p>
    <w:p w14:paraId="5A7A1DBC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inne specjalistyczne materiały przewidziane do stosowania w wykonawstwie nawierzchni brukowych.  </w:t>
      </w:r>
    </w:p>
    <w:p w14:paraId="49283563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9" w:name="_Toc73323914"/>
      <w:r>
        <w:rPr>
          <w:rFonts w:ascii="Times New Roman" w:hAnsi="Times New Roman" w:cs="Times New Roman"/>
          <w:caps/>
        </w:rPr>
        <w:t>Sprzęt</w:t>
      </w:r>
      <w:bookmarkEnd w:id="9"/>
    </w:p>
    <w:p w14:paraId="28F09BAA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0" w:name="_Toc73323915"/>
      <w:r>
        <w:rPr>
          <w:rFonts w:ascii="Times New Roman" w:hAnsi="Times New Roman" w:cs="Times New Roman"/>
        </w:rPr>
        <w:t>Ogólne wymagania dotyczące sprzętu</w:t>
      </w:r>
      <w:bookmarkEnd w:id="10"/>
    </w:p>
    <w:p w14:paraId="5CEADCCD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wymagania dotyczące sprzętu podano w STWiORB DM.00.00.00 "Wymagania ogólne".  </w:t>
      </w:r>
    </w:p>
    <w:p w14:paraId="6F265A06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1" w:name="_Toc73323916"/>
      <w:r>
        <w:rPr>
          <w:rFonts w:ascii="Times New Roman" w:hAnsi="Times New Roman" w:cs="Times New Roman"/>
        </w:rPr>
        <w:t>Sprzęt do wykonania robót</w:t>
      </w:r>
      <w:bookmarkEnd w:id="11"/>
    </w:p>
    <w:p w14:paraId="643315A5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Roboty można wykonywać ręcznie przy pomocy drobnego sprzętu z zastosowaniem:  </w:t>
      </w:r>
    </w:p>
    <w:p w14:paraId="22CA96F9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betoniarek do wytwarzania zapraw oraz przygotowania podsypki cementowo-piaskowej,</w:t>
      </w:r>
    </w:p>
    <w:p w14:paraId="60BE4098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wibratorów płytowych, ubijaków ręcznych lub mechanicznych.  </w:t>
      </w:r>
    </w:p>
    <w:p w14:paraId="5571BC46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12" w:name="_Toc73323917"/>
      <w:r>
        <w:rPr>
          <w:rFonts w:ascii="Times New Roman" w:hAnsi="Times New Roman" w:cs="Times New Roman"/>
          <w:caps/>
        </w:rPr>
        <w:t>Transport</w:t>
      </w:r>
      <w:bookmarkEnd w:id="12"/>
    </w:p>
    <w:p w14:paraId="3CF9C9F3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3" w:name="_Toc73323918"/>
      <w:r>
        <w:rPr>
          <w:rFonts w:ascii="Times New Roman" w:hAnsi="Times New Roman" w:cs="Times New Roman"/>
        </w:rPr>
        <w:t>Ogólne wymagania dotyczące transportu</w:t>
      </w:r>
      <w:bookmarkEnd w:id="13"/>
    </w:p>
    <w:p w14:paraId="54857595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wymagania dotyczące transportu podano w STWiORB DM 00.00.00. "Wymagania ogólne".  </w:t>
      </w:r>
    </w:p>
    <w:p w14:paraId="0D3AC336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4" w:name="_Toc73323919"/>
      <w:r>
        <w:rPr>
          <w:rFonts w:ascii="Times New Roman" w:hAnsi="Times New Roman" w:cs="Times New Roman"/>
        </w:rPr>
        <w:t>Transport materiałów</w:t>
      </w:r>
      <w:bookmarkEnd w:id="14"/>
    </w:p>
    <w:p w14:paraId="03A45956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Obrzeża betonowe mogą być przewożone dowolnymi środkami transportowymi.  </w:t>
      </w:r>
    </w:p>
    <w:p w14:paraId="7F4CC413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Obrzeża betonowe układać należy na środkach transportowych w pozycji pionowej z nachyleniem w kierunku jazdy.  </w:t>
      </w:r>
    </w:p>
    <w:p w14:paraId="38CC2DBD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Obrzeża powinny być zabezpieczone przed przemieszczeniem się i uszkodzeniami w czasie transportu, a górna warstwa nie powinna wystawać poza ściany środka transportowego więcej niż 1/3 wysokości tej warstwy.  </w:t>
      </w:r>
    </w:p>
    <w:p w14:paraId="3AD7A1F8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15" w:name="_Toc73323920"/>
      <w:r>
        <w:rPr>
          <w:rFonts w:ascii="Times New Roman" w:hAnsi="Times New Roman" w:cs="Times New Roman"/>
          <w:caps/>
        </w:rPr>
        <w:t>Wykonanie Robót</w:t>
      </w:r>
      <w:bookmarkEnd w:id="15"/>
    </w:p>
    <w:p w14:paraId="3B40C689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6" w:name="_Toc73323921"/>
      <w:r>
        <w:rPr>
          <w:rFonts w:ascii="Times New Roman" w:hAnsi="Times New Roman" w:cs="Times New Roman"/>
        </w:rPr>
        <w:t>Ogólne warunki wykonania robót</w:t>
      </w:r>
      <w:bookmarkEnd w:id="16"/>
    </w:p>
    <w:p w14:paraId="715159F0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zasady wykonania robót podano w STWiORB DM.00.00.00 "Wymagania ogólne".  </w:t>
      </w:r>
    </w:p>
    <w:p w14:paraId="5768AEAE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7" w:name="_Toc73323922"/>
      <w:r>
        <w:rPr>
          <w:rFonts w:ascii="Times New Roman" w:hAnsi="Times New Roman" w:cs="Times New Roman"/>
        </w:rPr>
        <w:t>Wykonanie koryta</w:t>
      </w:r>
      <w:bookmarkEnd w:id="17"/>
    </w:p>
    <w:p w14:paraId="0B550D6F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Koryto pod podsypkę należy wykonywać zgodnie z PN-B-06050. Wymiary wykopu powinny odpowiadać wymiarom ławy w planie. Wskaźnik zagęszczenia gruntu w korycie powinien wynosić, co najmniej Is ≥ 0,97.  </w:t>
      </w:r>
    </w:p>
    <w:p w14:paraId="776910D5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 korytowania można zrezygnować w przypadku gdy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podsypka zostanie posadowione bezpośrednio </w:t>
      </w:r>
      <w:r>
        <w:rPr>
          <w:rFonts w:ascii="Times New Roman" w:hAnsi="Times New Roman" w:cs="Times New Roman"/>
          <w:sz w:val="20"/>
          <w:szCs w:val="20"/>
        </w:rPr>
        <w:t>na niżej wykonanej i odebranej warstwie konstrukcyjnej pełnej grubości.</w:t>
      </w:r>
    </w:p>
    <w:p w14:paraId="4611518F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18" w:name="_Toc73323923"/>
      <w:r>
        <w:rPr>
          <w:rFonts w:ascii="Times New Roman" w:hAnsi="Times New Roman" w:cs="Times New Roman"/>
        </w:rPr>
        <w:t>Wykonanie podsypki cementowo-piaskowej</w:t>
      </w:r>
      <w:bookmarkEnd w:id="18"/>
    </w:p>
    <w:p w14:paraId="1084A694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sz w:val="20"/>
          <w:szCs w:val="20"/>
        </w:rPr>
      </w:pPr>
      <w:bookmarkStart w:id="19" w:name="_Toc73323924"/>
      <w:r>
        <w:rPr>
          <w:rFonts w:ascii="Times New Roman" w:hAnsi="Times New Roman" w:cs="Times New Roman"/>
          <w:color w:val="000000"/>
          <w:sz w:val="20"/>
          <w:szCs w:val="20"/>
        </w:rPr>
        <w:t>W wykonanym korycie lub na warstwie konstrukcyjnej należy rozścielić podsypkę cementowo-piaskową w stanie wilgotności optymalnej, o grubości przewidzianej  w Dokumentacji Projektowej.</w:t>
      </w:r>
    </w:p>
    <w:p w14:paraId="72C08EDC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Ustawienie krawężników</w:t>
      </w:r>
      <w:bookmarkEnd w:id="19"/>
    </w:p>
    <w:p w14:paraId="41F3E60E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Obrzeża ustawić na wykonanej podsypce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ze spoinami o szerokości maks. 5 mm.  </w:t>
      </w:r>
    </w:p>
    <w:p w14:paraId="2D3F2874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0" w:name="_Toc73323925"/>
      <w:r>
        <w:rPr>
          <w:rFonts w:ascii="Times New Roman" w:hAnsi="Times New Roman" w:cs="Times New Roman"/>
        </w:rPr>
        <w:t>Wypełnianie spoin</w:t>
      </w:r>
      <w:bookmarkEnd w:id="20"/>
    </w:p>
    <w:p w14:paraId="1235526F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Spoiny między obrzeżami o szerokości &gt; 5mm należy wypełnić zaprawą cementowo-piaskową. Spoiny przed  zalaniem zaprawą należy oczyścić i zmyć wodą.  </w:t>
      </w:r>
    </w:p>
    <w:p w14:paraId="218FF761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21" w:name="_Toc73323926"/>
      <w:r>
        <w:rPr>
          <w:rFonts w:ascii="Times New Roman" w:hAnsi="Times New Roman" w:cs="Times New Roman"/>
          <w:caps/>
        </w:rPr>
        <w:t>Kontrola jakości robót</w:t>
      </w:r>
      <w:bookmarkEnd w:id="21"/>
    </w:p>
    <w:p w14:paraId="08EDB483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2" w:name="_Toc73323927"/>
      <w:r>
        <w:rPr>
          <w:rFonts w:ascii="Times New Roman" w:hAnsi="Times New Roman" w:cs="Times New Roman"/>
        </w:rPr>
        <w:t>Ogólne zasady kontroli jakości robót</w:t>
      </w:r>
      <w:bookmarkEnd w:id="22"/>
    </w:p>
    <w:p w14:paraId="00848CD9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zasady kontroli jakości robót podano w STWiORB DM.00.00.00 "Wymagania ogólne".  </w:t>
      </w:r>
    </w:p>
    <w:p w14:paraId="79AC38A7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3" w:name="_Toc73323928"/>
      <w:r>
        <w:rPr>
          <w:rFonts w:ascii="Times New Roman" w:hAnsi="Times New Roman" w:cs="Times New Roman"/>
        </w:rPr>
        <w:t>Badania przed przystąpieniem do robót</w:t>
      </w:r>
      <w:bookmarkEnd w:id="23"/>
    </w:p>
    <w:p w14:paraId="72533146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Przed przystąpieniem do robót Wykonawca powinien:  </w:t>
      </w:r>
    </w:p>
    <w:p w14:paraId="23F773D4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uzyskać wymagane dokumenty, dopuszczające wyroby budowlane do obrotu i powszechnego stosowania (certyfikaty zgodności, deklarację właściwości użytkowych, ew. badania materiałów wykonane przez dostawców itp.), </w:t>
      </w:r>
    </w:p>
    <w:p w14:paraId="69E6AEB1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sprawdzić właściwości materiałów przeznaczonych do wykonania robót,</w:t>
      </w:r>
    </w:p>
    <w:p w14:paraId="5BD1953A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sprawdzić cechy zewnętrzne obrzeży. </w:t>
      </w:r>
    </w:p>
    <w:p w14:paraId="0F3D4400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Wszystkie dokumenty oraz wyniki badań Wykonawca przedstawia Inżynierowi do akceptacji. Sprawdzenie wyglądu zewnętrznego obrzeży należy przeprowadzić na podstawie oględzin  elementu przez pomiar i ocenę uszkodzeń występujących na powierzchniach i krawędziach  elementu zgodnie z wymaganiami podanymi w PN-EN 1343.  </w:t>
      </w:r>
    </w:p>
    <w:p w14:paraId="45A392B7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4" w:name="_Toc73323929"/>
      <w:r>
        <w:rPr>
          <w:rFonts w:ascii="Times New Roman" w:hAnsi="Times New Roman" w:cs="Times New Roman"/>
        </w:rPr>
        <w:t>Kontrola ułożenia obrzeży</w:t>
      </w:r>
      <w:bookmarkEnd w:id="24"/>
    </w:p>
    <w:p w14:paraId="18D3DF52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Należy sprawdzić:  </w:t>
      </w:r>
    </w:p>
    <w:p w14:paraId="491DA180">
      <w:pPr>
        <w:pStyle w:val="18"/>
        <w:numPr>
          <w:ilvl w:val="0"/>
          <w:numId w:val="6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wskaźnik zagęszczenia Is podłoża (dna koryta) – z częstotliwością minimum 1 raz na 100 metrów bieżących i powinno być zgodne z pkt 5.2. W przypadku posadowienia obrzeża na warstwie konstrukcyjnej, powinna być ona wykonana i odebrana zgodnie z właściwymi STWiORB.</w:t>
      </w:r>
    </w:p>
    <w:p w14:paraId="4D68DCF4">
      <w:pPr>
        <w:pStyle w:val="18"/>
        <w:numPr>
          <w:ilvl w:val="0"/>
          <w:numId w:val="6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wykonanie podsypki w 5 punktach dziennej działki roboczej, dopuszczalne odchyłki grubości ± 1 cm,  </w:t>
      </w:r>
    </w:p>
    <w:p w14:paraId="5EBC4E50">
      <w:pPr>
        <w:pStyle w:val="18"/>
        <w:numPr>
          <w:ilvl w:val="0"/>
          <w:numId w:val="6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światło obrzeży od strony chodnika – co 20 mb, dopuszczalne odchyłki ± 1 cm na każde 100 mb,  </w:t>
      </w:r>
    </w:p>
    <w:p w14:paraId="142EF813">
      <w:pPr>
        <w:pStyle w:val="18"/>
        <w:numPr>
          <w:ilvl w:val="0"/>
          <w:numId w:val="6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usytuowanie w planie – co 20 mb, odchyłki nie mogą przekraczać ± 1 cm na każde 100 mb,  </w:t>
      </w:r>
    </w:p>
    <w:p w14:paraId="6391B348">
      <w:pPr>
        <w:pStyle w:val="18"/>
        <w:numPr>
          <w:ilvl w:val="0"/>
          <w:numId w:val="6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równość górnej powierzchni obrzeży łatą 3 m – minimum w dwóch punktach na każde 100 mb – nie może przekraczać 1 cm.  </w:t>
      </w:r>
    </w:p>
    <w:p w14:paraId="7BAD70E7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25" w:name="_Toc73323930"/>
      <w:r>
        <w:rPr>
          <w:rFonts w:ascii="Times New Roman" w:hAnsi="Times New Roman" w:cs="Times New Roman"/>
          <w:caps/>
        </w:rPr>
        <w:t>Obmiar robót</w:t>
      </w:r>
      <w:bookmarkEnd w:id="25"/>
    </w:p>
    <w:p w14:paraId="56F6E523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zasady obmiaru robót podano w STWiORB DM.00.00.00 „Wymagania ogólne” pkt 7.  </w:t>
      </w:r>
    </w:p>
    <w:p w14:paraId="700B2791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Jednostką obmiarową jest metr (m) wykonanego obrzeża.</w:t>
      </w:r>
    </w:p>
    <w:p w14:paraId="5AA6EBBB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26" w:name="_Toc73323931"/>
      <w:r>
        <w:rPr>
          <w:rFonts w:ascii="Times New Roman" w:hAnsi="Times New Roman" w:cs="Times New Roman"/>
          <w:caps/>
        </w:rPr>
        <w:t>Odbiór robót</w:t>
      </w:r>
      <w:bookmarkEnd w:id="26"/>
    </w:p>
    <w:p w14:paraId="77BE17D3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zasady odbioru robót podano w STWiORB DM.00.00.00 "Wymagania ogólne" pkt 8.   </w:t>
      </w:r>
    </w:p>
    <w:p w14:paraId="4BD6AE17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Roboty uznaje się za wykonane zgodnie z PFU, Dokumentacją Projektową i STWiORB jeżeli  wszystkie badania i pomiary z uwzględnieniem tolerancji wg pkt 6 niniejszej STWiORB dały  pozytywne wyniki.  </w:t>
      </w:r>
    </w:p>
    <w:p w14:paraId="6F366888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27" w:name="_Toc73323932"/>
      <w:r>
        <w:rPr>
          <w:rFonts w:ascii="Times New Roman" w:hAnsi="Times New Roman" w:cs="Times New Roman"/>
          <w:caps/>
        </w:rPr>
        <w:t>Podstawa płatności</w:t>
      </w:r>
      <w:bookmarkEnd w:id="27"/>
    </w:p>
    <w:p w14:paraId="7FEB7D9D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8" w:name="_Toc73323933"/>
      <w:r>
        <w:rPr>
          <w:rFonts w:ascii="Times New Roman" w:hAnsi="Times New Roman" w:cs="Times New Roman"/>
        </w:rPr>
        <w:t>Ogólne ustalenia dotyczące podstawy płatności</w:t>
      </w:r>
      <w:bookmarkEnd w:id="28"/>
    </w:p>
    <w:p w14:paraId="7A2C1DDA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Ogólne ustalenia dotyczące podstawy płatności podano w STWiORB DM.00.00.00 „Wymagania  ogólne” p.9. Wynagrodzenie ryczałtowe: zasady płatności podano w umowie między Zamawiającym, a Wykonawcą.  </w:t>
      </w:r>
    </w:p>
    <w:p w14:paraId="2DA89EFC">
      <w:pPr>
        <w:pStyle w:val="2"/>
        <w:numPr>
          <w:ilvl w:val="1"/>
          <w:numId w:val="1"/>
        </w:numPr>
        <w:tabs>
          <w:tab w:val="left" w:pos="426"/>
        </w:tabs>
        <w:spacing w:before="120" w:line="280" w:lineRule="atLeast"/>
        <w:ind w:left="0" w:firstLine="0"/>
        <w:rPr>
          <w:rFonts w:ascii="Times New Roman" w:hAnsi="Times New Roman" w:cs="Times New Roman"/>
        </w:rPr>
      </w:pPr>
      <w:bookmarkStart w:id="29" w:name="_Toc7174898"/>
      <w:bookmarkStart w:id="30" w:name="_Toc73323934"/>
      <w:r>
        <w:rPr>
          <w:rFonts w:ascii="Times New Roman" w:hAnsi="Times New Roman" w:cs="Times New Roman"/>
        </w:rPr>
        <w:t>Cena jednostki obmiarowej</w:t>
      </w:r>
      <w:bookmarkEnd w:id="29"/>
      <w:bookmarkEnd w:id="30"/>
    </w:p>
    <w:p w14:paraId="4CCCB2C2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Cena wykonania 1 m obrzeża obejmuje:</w:t>
      </w:r>
    </w:p>
    <w:p w14:paraId="0F6E87D8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zakup i transport wszystkich materiałów,</w:t>
      </w:r>
    </w:p>
    <w:p w14:paraId="51AAAE73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ewentualne wykonanie wykopów i przygotowanie podłoża pod ławę betonową, z odwozem gruntu na wysypisko Wykonawcy wraz z kosztami zagospodarowania,</w:t>
      </w:r>
    </w:p>
    <w:p w14:paraId="5952240E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rozłożenie mieszanki betonowej na gruncie,</w:t>
      </w:r>
    </w:p>
    <w:p w14:paraId="1FD1534E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właściwe wysokościowe ustawienie obrzeży w świeżej mieszance betonowej,</w:t>
      </w:r>
    </w:p>
    <w:p w14:paraId="42F6FE87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docinanie obrzeży m.in. na łukach dla zapewnienia maks. dopuszczalnej szczeliny, </w:t>
      </w:r>
    </w:p>
    <w:p w14:paraId="63D41863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wypełnienie szczelin szerszych niż 5 mm pomiędzy obrzeżami, zaprawą cementową,</w:t>
      </w:r>
    </w:p>
    <w:p w14:paraId="296A3DC7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wykonanie i przedstawienie wszystkich niezbędnych badań, pomiarów, prób i sprawdzeń oraz dokumentów dopuszczających,</w:t>
      </w:r>
    </w:p>
    <w:p w14:paraId="42558739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oznakowanie i zabezpieczenie Robót i jego utrzymanie,</w:t>
      </w:r>
    </w:p>
    <w:p w14:paraId="7D7C3E02">
      <w:pPr>
        <w:pStyle w:val="18"/>
        <w:numPr>
          <w:ilvl w:val="0"/>
          <w:numId w:val="5"/>
        </w:numPr>
        <w:tabs>
          <w:tab w:val="left" w:pos="426"/>
        </w:tabs>
        <w:autoSpaceDE/>
        <w:autoSpaceDN/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wykonanie innych czynności niezbędnych do realizacji Robót objętych niniejszą ST, zgodnie z Dokumentacją Projektową.</w:t>
      </w:r>
    </w:p>
    <w:p w14:paraId="43BC3DF2">
      <w:pPr>
        <w:pStyle w:val="2"/>
        <w:numPr>
          <w:ilvl w:val="0"/>
          <w:numId w:val="1"/>
        </w:numPr>
        <w:tabs>
          <w:tab w:val="left" w:pos="426"/>
        </w:tabs>
        <w:spacing w:before="240" w:line="280" w:lineRule="atLeast"/>
        <w:ind w:left="0" w:firstLine="0"/>
        <w:rPr>
          <w:rFonts w:ascii="Times New Roman" w:hAnsi="Times New Roman" w:cs="Times New Roman"/>
          <w:caps/>
        </w:rPr>
      </w:pPr>
      <w:bookmarkStart w:id="31" w:name="_Toc73323935"/>
      <w:r>
        <w:rPr>
          <w:rFonts w:ascii="Times New Roman" w:hAnsi="Times New Roman" w:cs="Times New Roman"/>
          <w:caps/>
        </w:rPr>
        <w:t>Przepisy związane</w:t>
      </w:r>
      <w:bookmarkEnd w:id="31"/>
    </w:p>
    <w:p w14:paraId="553FE333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PN-EN 197-1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Cement. Skład, wymagania i kryteria zgodności dotyczące cementów powszechnego użytku.  </w:t>
      </w:r>
    </w:p>
    <w:p w14:paraId="00053B11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PN-EN 1339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Betonowe płyty brukowe. Wymagania i metodyka badań.  </w:t>
      </w:r>
    </w:p>
    <w:p w14:paraId="23429D86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PN-EN 1340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Krawężniki betonowe. Wymagania i metody badań.  </w:t>
      </w:r>
    </w:p>
    <w:p w14:paraId="79700FE0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PN-EN 1008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Woda zarobowa do betonu  -  Specyfikacja pobierania próbek, badanie i ocena przydatności wody zarobowej do betonu, w tym wody odzyskanej z procesów produkcji betonu.  </w:t>
      </w:r>
    </w:p>
    <w:p w14:paraId="3007804A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PN-EN 13139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Kruszywa do zaprawy.  </w:t>
      </w:r>
    </w:p>
    <w:p w14:paraId="54FB2468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PN-EN 13242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Kruszywa do niezwiązanych i związanych hydraulicznie materiałów stosowanych w obiektach budowlanych i budownictwie drogowym. </w:t>
      </w:r>
    </w:p>
    <w:p w14:paraId="29090D01">
      <w:pPr>
        <w:tabs>
          <w:tab w:val="left" w:pos="426"/>
        </w:tabs>
        <w:spacing w:before="60" w:line="28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BN-68/8933-04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Drogi samochodowe. Pomiar równości nawierzchni planografem i łatą.  </w:t>
      </w:r>
    </w:p>
    <w:p w14:paraId="6A1A3B84">
      <w:pPr>
        <w:tabs>
          <w:tab w:val="left" w:pos="426"/>
        </w:tabs>
        <w:spacing w:before="60" w:line="280" w:lineRule="atLeast"/>
        <w:jc w:val="both"/>
        <w:rPr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BN-77/8931-12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Drogi samochod</w:t>
      </w:r>
      <w:r>
        <w:rPr>
          <w:color w:val="000000"/>
          <w:sz w:val="18"/>
          <w:szCs w:val="18"/>
        </w:rPr>
        <w:t>owe. Oznaczanie wskaźnika zagęszczenia gruntu.</w:t>
      </w:r>
    </w:p>
    <w:sectPr>
      <w:headerReference r:id="rId3" w:type="default"/>
      <w:footerReference r:id="rId4" w:type="default"/>
      <w:pgSz w:w="11910" w:h="16840"/>
      <w:pgMar w:top="1134" w:right="1134" w:bottom="1418" w:left="1134" w:header="454" w:footer="284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9782"/>
    </w:tblGrid>
    <w:tr w14:paraId="0F91B3F2"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9782" w:type="dxa"/>
          <w:vAlign w:val="bottom"/>
        </w:tcPr>
        <w:p w14:paraId="47519B66">
          <w:pPr>
            <w:spacing w:before="60"/>
            <w:ind w:left="1" w:right="1"/>
            <w:jc w:val="center"/>
            <w:rPr>
              <w:sz w:val="16"/>
            </w:rPr>
          </w:pPr>
        </w:p>
      </w:tc>
    </w:tr>
    <w:tr w14:paraId="41EFBCBA"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71" w:hRule="atLeast"/>
      </w:trPr>
      <w:tc>
        <w:tcPr>
          <w:tcW w:w="9782" w:type="dxa"/>
          <w:vAlign w:val="bottom"/>
        </w:tcPr>
        <w:p w14:paraId="1215D047">
          <w:pPr>
            <w:pStyle w:val="8"/>
            <w:spacing w:before="240"/>
            <w:ind w:left="0"/>
            <w:jc w:val="center"/>
          </w:pPr>
          <w:r>
            <w:rPr>
              <w:sz w:val="16"/>
              <w:szCs w:val="22"/>
            </w:rPr>
            <w:t xml:space="preserve">Strona </w:t>
          </w:r>
          <w:r>
            <w:rPr>
              <w:sz w:val="16"/>
              <w:szCs w:val="22"/>
            </w:rPr>
            <w:fldChar w:fldCharType="begin"/>
          </w:r>
          <w:r>
            <w:rPr>
              <w:sz w:val="16"/>
              <w:szCs w:val="22"/>
            </w:rPr>
            <w:instrText xml:space="preserve">PAGE  \* Arabic  \* MERGEFORMAT</w:instrText>
          </w:r>
          <w:r>
            <w:rPr>
              <w:sz w:val="16"/>
              <w:szCs w:val="22"/>
            </w:rPr>
            <w:fldChar w:fldCharType="separate"/>
          </w:r>
          <w:r>
            <w:rPr>
              <w:sz w:val="16"/>
              <w:szCs w:val="22"/>
            </w:rPr>
            <w:t>6</w:t>
          </w:r>
          <w:r>
            <w:rPr>
              <w:sz w:val="16"/>
              <w:szCs w:val="22"/>
            </w:rPr>
            <w:fldChar w:fldCharType="end"/>
          </w:r>
          <w:r>
            <w:rPr>
              <w:sz w:val="16"/>
              <w:szCs w:val="22"/>
            </w:rPr>
            <w:t xml:space="preserve"> z </w:t>
          </w:r>
          <w:r>
            <w:rPr>
              <w:sz w:val="16"/>
              <w:szCs w:val="22"/>
            </w:rPr>
            <w:fldChar w:fldCharType="begin"/>
          </w:r>
          <w:r>
            <w:rPr>
              <w:sz w:val="16"/>
              <w:szCs w:val="22"/>
            </w:rPr>
            <w:instrText xml:space="preserve">NUMPAGES  \* Arabic  \* MERGEFORMAT</w:instrText>
          </w:r>
          <w:r>
            <w:rPr>
              <w:sz w:val="16"/>
              <w:szCs w:val="22"/>
            </w:rPr>
            <w:fldChar w:fldCharType="separate"/>
          </w:r>
          <w:r>
            <w:rPr>
              <w:sz w:val="16"/>
              <w:szCs w:val="22"/>
            </w:rPr>
            <w:t>6</w:t>
          </w:r>
          <w:r>
            <w:rPr>
              <w:sz w:val="16"/>
              <w:szCs w:val="22"/>
            </w:rPr>
            <w:fldChar w:fldCharType="end"/>
          </w:r>
        </w:p>
      </w:tc>
    </w:tr>
  </w:tbl>
  <w:p w14:paraId="70BB4F94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W w:w="0" w:type="auto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single" w:color="auto" w:sz="4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4891"/>
      <w:gridCol w:w="4891"/>
    </w:tblGrid>
    <w:tr w14:paraId="2CD04804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567" w:hRule="atLeast"/>
      </w:trPr>
      <w:tc>
        <w:tcPr>
          <w:tcW w:w="4891" w:type="dxa"/>
          <w:vAlign w:val="bottom"/>
        </w:tcPr>
        <w:p w14:paraId="45A4BBFD">
          <w:pPr>
            <w:pStyle w:val="8"/>
            <w:spacing w:after="60" w:line="14" w:lineRule="auto"/>
            <w:ind w:left="0"/>
            <w:jc w:val="left"/>
          </w:pPr>
        </w:p>
        <w:p w14:paraId="28138893">
          <w:pPr>
            <w:tabs>
              <w:tab w:val="left" w:pos="1034"/>
            </w:tabs>
            <w:spacing w:after="60"/>
          </w:pPr>
          <w:r>
            <w:rPr>
              <w:rFonts w:ascii="Times New Roman" w:hAnsi="Times New Roman"/>
              <w:i/>
              <w:sz w:val="20"/>
            </w:rPr>
            <w:t xml:space="preserve">D-08.03.01 </w:t>
          </w:r>
        </w:p>
      </w:tc>
      <w:tc>
        <w:tcPr>
          <w:tcW w:w="4891" w:type="dxa"/>
          <w:vAlign w:val="bottom"/>
        </w:tcPr>
        <w:p w14:paraId="65DAA2A1">
          <w:pPr>
            <w:pStyle w:val="13"/>
            <w:widowControl/>
            <w:overflowPunct w:val="0"/>
            <w:adjustRightInd w:val="0"/>
            <w:textAlignment w:val="baseline"/>
            <w:rPr>
              <w:rFonts w:ascii="Times New Roman" w:hAnsi="Times New Roman" w:eastAsia="Times New Roman" w:cs="Times New Roman"/>
              <w:i/>
              <w:sz w:val="20"/>
              <w:szCs w:val="20"/>
              <w:lang w:eastAsia="pl-PL"/>
            </w:rPr>
          </w:pPr>
        </w:p>
        <w:p w14:paraId="3C1B6E3A">
          <w:pPr>
            <w:pStyle w:val="13"/>
            <w:widowControl/>
            <w:overflowPunct w:val="0"/>
            <w:adjustRightInd w:val="0"/>
            <w:textAlignment w:val="baseline"/>
            <w:rPr>
              <w:rFonts w:ascii="Times New Roman" w:hAnsi="Times New Roman" w:eastAsia="Times New Roman" w:cs="Times New Roman"/>
              <w:i/>
              <w:sz w:val="20"/>
              <w:szCs w:val="20"/>
              <w:lang w:eastAsia="pl-PL"/>
            </w:rPr>
          </w:pPr>
          <w:r>
            <w:rPr>
              <w:rFonts w:ascii="Times New Roman" w:hAnsi="Times New Roman" w:eastAsia="Times New Roman" w:cs="Times New Roman"/>
              <w:i/>
              <w:sz w:val="20"/>
              <w:szCs w:val="20"/>
              <w:lang w:eastAsia="pl-PL"/>
            </w:rPr>
            <w:t>OBRZEŻA BETONOWE</w:t>
          </w:r>
        </w:p>
      </w:tc>
    </w:tr>
  </w:tbl>
  <w:p w14:paraId="264A9D39">
    <w:pPr>
      <w:pStyle w:val="8"/>
      <w:spacing w:line="14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964070"/>
    <w:multiLevelType w:val="multilevel"/>
    <w:tmpl w:val="20964070"/>
    <w:lvl w:ilvl="0" w:tentative="0">
      <w:start w:val="1"/>
      <w:numFmt w:val="lowerLetter"/>
      <w:lvlText w:val="%1."/>
      <w:lvlJc w:val="left"/>
      <w:pPr>
        <w:ind w:left="397" w:hanging="39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37" w:hanging="360"/>
      </w:pPr>
    </w:lvl>
    <w:lvl w:ilvl="2" w:tentative="0">
      <w:start w:val="1"/>
      <w:numFmt w:val="lowerRoman"/>
      <w:lvlText w:val="%3."/>
      <w:lvlJc w:val="right"/>
      <w:pPr>
        <w:ind w:left="2557" w:hanging="180"/>
      </w:pPr>
    </w:lvl>
    <w:lvl w:ilvl="3" w:tentative="0">
      <w:start w:val="1"/>
      <w:numFmt w:val="decimal"/>
      <w:lvlText w:val="%4."/>
      <w:lvlJc w:val="left"/>
      <w:pPr>
        <w:ind w:left="3277" w:hanging="360"/>
      </w:pPr>
    </w:lvl>
    <w:lvl w:ilvl="4" w:tentative="0">
      <w:start w:val="1"/>
      <w:numFmt w:val="lowerLetter"/>
      <w:lvlText w:val="%5."/>
      <w:lvlJc w:val="left"/>
      <w:pPr>
        <w:ind w:left="3997" w:hanging="360"/>
      </w:pPr>
    </w:lvl>
    <w:lvl w:ilvl="5" w:tentative="0">
      <w:start w:val="1"/>
      <w:numFmt w:val="lowerRoman"/>
      <w:lvlText w:val="%6."/>
      <w:lvlJc w:val="right"/>
      <w:pPr>
        <w:ind w:left="4717" w:hanging="180"/>
      </w:pPr>
    </w:lvl>
    <w:lvl w:ilvl="6" w:tentative="0">
      <w:start w:val="1"/>
      <w:numFmt w:val="decimal"/>
      <w:lvlText w:val="%7."/>
      <w:lvlJc w:val="left"/>
      <w:pPr>
        <w:ind w:left="5437" w:hanging="360"/>
      </w:pPr>
    </w:lvl>
    <w:lvl w:ilvl="7" w:tentative="0">
      <w:start w:val="1"/>
      <w:numFmt w:val="lowerLetter"/>
      <w:lvlText w:val="%8."/>
      <w:lvlJc w:val="left"/>
      <w:pPr>
        <w:ind w:left="6157" w:hanging="360"/>
      </w:pPr>
    </w:lvl>
    <w:lvl w:ilvl="8" w:tentative="0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2F0B6E2C"/>
    <w:multiLevelType w:val="multilevel"/>
    <w:tmpl w:val="2F0B6E2C"/>
    <w:lvl w:ilvl="0" w:tentative="0">
      <w:start w:val="1"/>
      <w:numFmt w:val="decimal"/>
      <w:lvlText w:val="%1."/>
      <w:lvlJc w:val="left"/>
      <w:pPr>
        <w:ind w:left="905" w:hanging="905"/>
      </w:pPr>
      <w:rPr>
        <w:rFonts w:hint="default" w:ascii="Times New Roman" w:hAnsi="Times New Roman" w:eastAsia="Verdana" w:cs="Times New Roman"/>
        <w:b/>
        <w:bCs/>
        <w:spacing w:val="-1"/>
        <w:w w:val="99"/>
        <w:sz w:val="20"/>
        <w:szCs w:val="20"/>
        <w:lang w:val="pl-PL" w:eastAsia="en-US" w:bidi="ar-SA"/>
      </w:rPr>
    </w:lvl>
    <w:lvl w:ilvl="1" w:tentative="0">
      <w:start w:val="1"/>
      <w:numFmt w:val="decimal"/>
      <w:lvlText w:val="%1.%2."/>
      <w:lvlJc w:val="left"/>
      <w:pPr>
        <w:ind w:left="905" w:hanging="708"/>
      </w:pPr>
      <w:rPr>
        <w:rFonts w:hint="default" w:ascii="Times New Roman" w:hAnsi="Times New Roman" w:eastAsia="Verdana" w:cs="Times New Roman"/>
        <w:b/>
        <w:bCs/>
        <w:spacing w:val="-1"/>
        <w:w w:val="99"/>
        <w:sz w:val="20"/>
        <w:szCs w:val="20"/>
        <w:lang w:val="pl-PL" w:eastAsia="en-US" w:bidi="ar-SA"/>
      </w:rPr>
    </w:lvl>
    <w:lvl w:ilvl="2" w:tentative="0">
      <w:start w:val="1"/>
      <w:numFmt w:val="decimal"/>
      <w:lvlText w:val="%1.%2.%3."/>
      <w:lvlJc w:val="left"/>
      <w:pPr>
        <w:ind w:left="905" w:hanging="905"/>
      </w:pPr>
      <w:rPr>
        <w:rFonts w:hint="default" w:ascii="Verdana" w:hAnsi="Verdana" w:eastAsia="Verdana" w:cs="Verdana"/>
        <w:b/>
        <w:w w:val="99"/>
        <w:sz w:val="18"/>
        <w:szCs w:val="18"/>
        <w:lang w:val="pl-PL" w:eastAsia="en-US" w:bidi="ar-SA"/>
      </w:rPr>
    </w:lvl>
    <w:lvl w:ilvl="3" w:tentative="0">
      <w:start w:val="1"/>
      <w:numFmt w:val="lowerLetter"/>
      <w:lvlText w:val="%4)"/>
      <w:lvlJc w:val="left"/>
      <w:pPr>
        <w:ind w:left="1190" w:hanging="286"/>
      </w:pPr>
      <w:rPr>
        <w:rFonts w:hint="default" w:ascii="Verdana" w:hAnsi="Verdana" w:eastAsia="Verdana" w:cs="Verdana"/>
        <w:w w:val="99"/>
        <w:sz w:val="20"/>
        <w:szCs w:val="20"/>
        <w:lang w:val="pl-PL" w:eastAsia="en-US" w:bidi="ar-SA"/>
      </w:rPr>
    </w:lvl>
    <w:lvl w:ilvl="4" w:tentative="0">
      <w:start w:val="0"/>
      <w:numFmt w:val="bullet"/>
      <w:lvlText w:val="•"/>
      <w:lvlJc w:val="left"/>
      <w:pPr>
        <w:ind w:left="2572" w:hanging="286"/>
      </w:pPr>
      <w:rPr>
        <w:rFonts w:hint="default"/>
        <w:lang w:val="pl-PL" w:eastAsia="en-US" w:bidi="ar-SA"/>
      </w:rPr>
    </w:lvl>
    <w:lvl w:ilvl="5" w:tentative="0">
      <w:start w:val="0"/>
      <w:numFmt w:val="bullet"/>
      <w:lvlText w:val="•"/>
      <w:lvlJc w:val="left"/>
      <w:pPr>
        <w:ind w:left="3804" w:hanging="286"/>
      </w:pPr>
      <w:rPr>
        <w:rFonts w:hint="default"/>
        <w:lang w:val="pl-PL" w:eastAsia="en-US" w:bidi="ar-SA"/>
      </w:rPr>
    </w:lvl>
    <w:lvl w:ilvl="6" w:tentative="0">
      <w:start w:val="0"/>
      <w:numFmt w:val="bullet"/>
      <w:lvlText w:val="•"/>
      <w:lvlJc w:val="left"/>
      <w:pPr>
        <w:ind w:left="5037" w:hanging="286"/>
      </w:pPr>
      <w:rPr>
        <w:rFonts w:hint="default"/>
        <w:lang w:val="pl-PL" w:eastAsia="en-US" w:bidi="ar-SA"/>
      </w:rPr>
    </w:lvl>
    <w:lvl w:ilvl="7" w:tentative="0">
      <w:start w:val="0"/>
      <w:numFmt w:val="bullet"/>
      <w:lvlText w:val="•"/>
      <w:lvlJc w:val="left"/>
      <w:pPr>
        <w:ind w:left="6269" w:hanging="286"/>
      </w:pPr>
      <w:rPr>
        <w:rFonts w:hint="default"/>
        <w:lang w:val="pl-PL" w:eastAsia="en-US" w:bidi="ar-SA"/>
      </w:rPr>
    </w:lvl>
    <w:lvl w:ilvl="8" w:tentative="0">
      <w:start w:val="0"/>
      <w:numFmt w:val="bullet"/>
      <w:lvlText w:val="•"/>
      <w:lvlJc w:val="left"/>
      <w:pPr>
        <w:ind w:left="7501" w:hanging="286"/>
      </w:pPr>
      <w:rPr>
        <w:rFonts w:hint="default"/>
        <w:lang w:val="pl-PL" w:eastAsia="en-US" w:bidi="ar-SA"/>
      </w:rPr>
    </w:lvl>
  </w:abstractNum>
  <w:abstractNum w:abstractNumId="2">
    <w:nsid w:val="3FBD04F4"/>
    <w:multiLevelType w:val="multilevel"/>
    <w:tmpl w:val="3FBD04F4"/>
    <w:lvl w:ilvl="0" w:tentative="0">
      <w:start w:val="1"/>
      <w:numFmt w:val="lowerLetter"/>
      <w:lvlText w:val="%1."/>
      <w:lvlJc w:val="left"/>
      <w:pPr>
        <w:ind w:left="397" w:hanging="39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97" w:hanging="360"/>
      </w:pPr>
    </w:lvl>
    <w:lvl w:ilvl="2" w:tentative="0">
      <w:start w:val="1"/>
      <w:numFmt w:val="lowerRoman"/>
      <w:lvlText w:val="%3."/>
      <w:lvlJc w:val="right"/>
      <w:pPr>
        <w:ind w:left="2917" w:hanging="180"/>
      </w:pPr>
    </w:lvl>
    <w:lvl w:ilvl="3" w:tentative="0">
      <w:start w:val="1"/>
      <w:numFmt w:val="decimal"/>
      <w:lvlText w:val="%4."/>
      <w:lvlJc w:val="left"/>
      <w:pPr>
        <w:ind w:left="3637" w:hanging="360"/>
      </w:pPr>
    </w:lvl>
    <w:lvl w:ilvl="4" w:tentative="0">
      <w:start w:val="1"/>
      <w:numFmt w:val="lowerLetter"/>
      <w:lvlText w:val="%5."/>
      <w:lvlJc w:val="left"/>
      <w:pPr>
        <w:ind w:left="4357" w:hanging="360"/>
      </w:pPr>
    </w:lvl>
    <w:lvl w:ilvl="5" w:tentative="0">
      <w:start w:val="1"/>
      <w:numFmt w:val="lowerRoman"/>
      <w:lvlText w:val="%6."/>
      <w:lvlJc w:val="right"/>
      <w:pPr>
        <w:ind w:left="5077" w:hanging="180"/>
      </w:pPr>
    </w:lvl>
    <w:lvl w:ilvl="6" w:tentative="0">
      <w:start w:val="1"/>
      <w:numFmt w:val="decimal"/>
      <w:lvlText w:val="%7."/>
      <w:lvlJc w:val="left"/>
      <w:pPr>
        <w:ind w:left="5797" w:hanging="360"/>
      </w:pPr>
    </w:lvl>
    <w:lvl w:ilvl="7" w:tentative="0">
      <w:start w:val="1"/>
      <w:numFmt w:val="lowerLetter"/>
      <w:lvlText w:val="%8."/>
      <w:lvlJc w:val="left"/>
      <w:pPr>
        <w:ind w:left="6517" w:hanging="360"/>
      </w:pPr>
    </w:lvl>
    <w:lvl w:ilvl="8" w:tentative="0">
      <w:start w:val="1"/>
      <w:numFmt w:val="lowerRoman"/>
      <w:lvlText w:val="%9."/>
      <w:lvlJc w:val="right"/>
      <w:pPr>
        <w:ind w:left="7237" w:hanging="180"/>
      </w:pPr>
    </w:lvl>
  </w:abstractNum>
  <w:abstractNum w:abstractNumId="3">
    <w:nsid w:val="42DF20FF"/>
    <w:multiLevelType w:val="multilevel"/>
    <w:tmpl w:val="42DF20FF"/>
    <w:lvl w:ilvl="0" w:tentative="0">
      <w:start w:val="1"/>
      <w:numFmt w:val="bullet"/>
      <w:lvlText w:val=""/>
      <w:lvlJc w:val="left"/>
      <w:pPr>
        <w:ind w:left="147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9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1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3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5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7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9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1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37" w:hanging="360"/>
      </w:pPr>
      <w:rPr>
        <w:rFonts w:hint="default" w:ascii="Wingdings" w:hAnsi="Wingdings"/>
      </w:rPr>
    </w:lvl>
  </w:abstractNum>
  <w:abstractNum w:abstractNumId="4">
    <w:nsid w:val="61B53039"/>
    <w:multiLevelType w:val="multilevel"/>
    <w:tmpl w:val="61B53039"/>
    <w:lvl w:ilvl="0" w:tentative="0">
      <w:start w:val="1"/>
      <w:numFmt w:val="bullet"/>
      <w:lvlText w:val=""/>
      <w:lvlJc w:val="left"/>
      <w:pPr>
        <w:ind w:left="397" w:hanging="39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9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1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3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5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7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9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1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37" w:hanging="360"/>
      </w:pPr>
      <w:rPr>
        <w:rFonts w:hint="default" w:ascii="Wingdings" w:hAnsi="Wingdings"/>
      </w:rPr>
    </w:lvl>
  </w:abstractNum>
  <w:abstractNum w:abstractNumId="5">
    <w:nsid w:val="6EC71A3E"/>
    <w:multiLevelType w:val="multilevel"/>
    <w:tmpl w:val="6EC71A3E"/>
    <w:lvl w:ilvl="0" w:tentative="0">
      <w:start w:val="1"/>
      <w:numFmt w:val="bullet"/>
      <w:lvlText w:val=""/>
      <w:lvlJc w:val="left"/>
      <w:pPr>
        <w:ind w:left="397" w:hanging="39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9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1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3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5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7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9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1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37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8F"/>
    <w:rsid w:val="00002CC6"/>
    <w:rsid w:val="00064545"/>
    <w:rsid w:val="0007235D"/>
    <w:rsid w:val="001565ED"/>
    <w:rsid w:val="001764BD"/>
    <w:rsid w:val="00176839"/>
    <w:rsid w:val="00181E0F"/>
    <w:rsid w:val="001C625E"/>
    <w:rsid w:val="001D438F"/>
    <w:rsid w:val="00203866"/>
    <w:rsid w:val="00205CEA"/>
    <w:rsid w:val="00240E2B"/>
    <w:rsid w:val="00256C5F"/>
    <w:rsid w:val="002E383C"/>
    <w:rsid w:val="00307FB9"/>
    <w:rsid w:val="00316184"/>
    <w:rsid w:val="00385A66"/>
    <w:rsid w:val="003F7C33"/>
    <w:rsid w:val="00403B90"/>
    <w:rsid w:val="004378B6"/>
    <w:rsid w:val="00460280"/>
    <w:rsid w:val="0046238B"/>
    <w:rsid w:val="00464E1B"/>
    <w:rsid w:val="004B1A79"/>
    <w:rsid w:val="004D31DE"/>
    <w:rsid w:val="004E20D6"/>
    <w:rsid w:val="004F1308"/>
    <w:rsid w:val="00507870"/>
    <w:rsid w:val="00514028"/>
    <w:rsid w:val="005E76A7"/>
    <w:rsid w:val="005F67F3"/>
    <w:rsid w:val="006A6E5C"/>
    <w:rsid w:val="0072435D"/>
    <w:rsid w:val="0077030A"/>
    <w:rsid w:val="007B65AE"/>
    <w:rsid w:val="007C2D82"/>
    <w:rsid w:val="008A5033"/>
    <w:rsid w:val="008C10C1"/>
    <w:rsid w:val="008D0517"/>
    <w:rsid w:val="008E4778"/>
    <w:rsid w:val="008F1802"/>
    <w:rsid w:val="00957296"/>
    <w:rsid w:val="009A7E25"/>
    <w:rsid w:val="009E5BEA"/>
    <w:rsid w:val="009F2375"/>
    <w:rsid w:val="00A33EB5"/>
    <w:rsid w:val="00AA163B"/>
    <w:rsid w:val="00AB26B3"/>
    <w:rsid w:val="00AB5F13"/>
    <w:rsid w:val="00B104ED"/>
    <w:rsid w:val="00B11178"/>
    <w:rsid w:val="00B31A43"/>
    <w:rsid w:val="00B42123"/>
    <w:rsid w:val="00BA79E7"/>
    <w:rsid w:val="00BB515F"/>
    <w:rsid w:val="00BC6C83"/>
    <w:rsid w:val="00C00786"/>
    <w:rsid w:val="00C33A44"/>
    <w:rsid w:val="00C378E7"/>
    <w:rsid w:val="00C55EAF"/>
    <w:rsid w:val="00C903F0"/>
    <w:rsid w:val="00CA5F73"/>
    <w:rsid w:val="00CC51DA"/>
    <w:rsid w:val="00D1211C"/>
    <w:rsid w:val="00D60491"/>
    <w:rsid w:val="00DC43DB"/>
    <w:rsid w:val="00E75E09"/>
    <w:rsid w:val="00E8451D"/>
    <w:rsid w:val="00EA6B11"/>
    <w:rsid w:val="00EB368F"/>
    <w:rsid w:val="00F33957"/>
    <w:rsid w:val="00F61FD0"/>
    <w:rsid w:val="00F82491"/>
    <w:rsid w:val="00F858BE"/>
    <w:rsid w:val="00FB5E7C"/>
    <w:rsid w:val="327323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qFormat="1" w:unhideWhenUsed="0" w:uiPriority="1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pl-PL" w:eastAsia="en-US" w:bidi="ar-SA"/>
    </w:rPr>
  </w:style>
  <w:style w:type="paragraph" w:styleId="2">
    <w:name w:val="heading 1"/>
    <w:basedOn w:val="1"/>
    <w:qFormat/>
    <w:uiPriority w:val="1"/>
    <w:pPr>
      <w:ind w:left="682" w:hanging="567"/>
      <w:jc w:val="both"/>
      <w:outlineLvl w:val="0"/>
    </w:pPr>
    <w:rPr>
      <w:b/>
      <w:bCs/>
      <w:sz w:val="20"/>
      <w:szCs w:val="20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3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8">
    <w:name w:val="Body Text"/>
    <w:basedOn w:val="1"/>
    <w:qFormat/>
    <w:uiPriority w:val="1"/>
    <w:pPr>
      <w:ind w:left="116"/>
      <w:jc w:val="both"/>
    </w:pPr>
    <w:rPr>
      <w:sz w:val="20"/>
      <w:szCs w:val="20"/>
    </w:rPr>
  </w:style>
  <w:style w:type="character" w:styleId="9">
    <w:name w:val="annotation reference"/>
    <w:basedOn w:val="5"/>
    <w:semiHidden/>
    <w:unhideWhenUsed/>
    <w:qFormat/>
    <w:uiPriority w:val="99"/>
    <w:rPr>
      <w:sz w:val="16"/>
      <w:szCs w:val="16"/>
    </w:rPr>
  </w:style>
  <w:style w:type="paragraph" w:styleId="10">
    <w:name w:val="annotation text"/>
    <w:basedOn w:val="1"/>
    <w:link w:val="24"/>
    <w:semiHidden/>
    <w:unhideWhenUsed/>
    <w:uiPriority w:val="99"/>
    <w:rPr>
      <w:sz w:val="20"/>
      <w:szCs w:val="20"/>
    </w:rPr>
  </w:style>
  <w:style w:type="paragraph" w:styleId="11">
    <w:name w:val="annotation subject"/>
    <w:basedOn w:val="10"/>
    <w:next w:val="10"/>
    <w:link w:val="25"/>
    <w:semiHidden/>
    <w:unhideWhenUsed/>
    <w:uiPriority w:val="99"/>
    <w:rPr>
      <w:b/>
      <w:bCs/>
    </w:rPr>
  </w:style>
  <w:style w:type="paragraph" w:styleId="12">
    <w:name w:val="footer"/>
    <w:basedOn w:val="1"/>
    <w:link w:val="21"/>
    <w:unhideWhenUsed/>
    <w:uiPriority w:val="99"/>
    <w:pPr>
      <w:tabs>
        <w:tab w:val="center" w:pos="4536"/>
        <w:tab w:val="right" w:pos="9072"/>
      </w:tabs>
    </w:pPr>
  </w:style>
  <w:style w:type="paragraph" w:styleId="13">
    <w:name w:val="header"/>
    <w:basedOn w:val="1"/>
    <w:link w:val="20"/>
    <w:unhideWhenUsed/>
    <w:uiPriority w:val="0"/>
    <w:pPr>
      <w:tabs>
        <w:tab w:val="center" w:pos="4536"/>
        <w:tab w:val="right" w:pos="9072"/>
      </w:tabs>
    </w:pPr>
  </w:style>
  <w:style w:type="table" w:styleId="14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oc 1"/>
    <w:basedOn w:val="1"/>
    <w:qFormat/>
    <w:uiPriority w:val="1"/>
    <w:pPr>
      <w:spacing w:before="136"/>
      <w:ind w:left="555" w:hanging="440"/>
    </w:pPr>
    <w:rPr>
      <w:sz w:val="20"/>
      <w:szCs w:val="20"/>
    </w:rPr>
  </w:style>
  <w:style w:type="paragraph" w:styleId="16">
    <w:name w:val="toc 2"/>
    <w:basedOn w:val="1"/>
    <w:qFormat/>
    <w:uiPriority w:val="1"/>
    <w:pPr>
      <w:spacing w:before="136"/>
      <w:ind w:left="997" w:hanging="661"/>
    </w:pPr>
    <w:rPr>
      <w:sz w:val="20"/>
      <w:szCs w:val="20"/>
    </w:rPr>
  </w:style>
  <w:style w:type="table" w:customStyle="1" w:styleId="1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link w:val="22"/>
    <w:qFormat/>
    <w:uiPriority w:val="1"/>
    <w:pPr>
      <w:spacing w:before="136"/>
      <w:ind w:left="682" w:hanging="567"/>
    </w:pPr>
  </w:style>
  <w:style w:type="paragraph" w:customStyle="1" w:styleId="19">
    <w:name w:val="Table Paragraph"/>
    <w:basedOn w:val="1"/>
    <w:qFormat/>
    <w:uiPriority w:val="1"/>
    <w:pPr>
      <w:spacing w:before="99"/>
      <w:jc w:val="center"/>
    </w:pPr>
  </w:style>
  <w:style w:type="character" w:customStyle="1" w:styleId="20">
    <w:name w:val="Nagłówek Znak"/>
    <w:basedOn w:val="5"/>
    <w:link w:val="13"/>
    <w:uiPriority w:val="99"/>
    <w:rPr>
      <w:rFonts w:ascii="Verdana" w:hAnsi="Verdana" w:eastAsia="Verdana" w:cs="Verdana"/>
      <w:lang w:val="pl-PL"/>
    </w:rPr>
  </w:style>
  <w:style w:type="character" w:customStyle="1" w:styleId="21">
    <w:name w:val="Stopka Znak"/>
    <w:basedOn w:val="5"/>
    <w:link w:val="12"/>
    <w:uiPriority w:val="99"/>
    <w:rPr>
      <w:rFonts w:ascii="Verdana" w:hAnsi="Verdana" w:eastAsia="Verdana" w:cs="Verdana"/>
      <w:lang w:val="pl-PL"/>
    </w:rPr>
  </w:style>
  <w:style w:type="character" w:customStyle="1" w:styleId="22">
    <w:name w:val="Akapit z listą Znak"/>
    <w:link w:val="18"/>
    <w:locked/>
    <w:uiPriority w:val="34"/>
    <w:rPr>
      <w:rFonts w:ascii="Verdana" w:hAnsi="Verdana" w:eastAsia="Verdana" w:cs="Verdana"/>
      <w:lang w:val="pl-PL"/>
    </w:rPr>
  </w:style>
  <w:style w:type="character" w:customStyle="1" w:styleId="23">
    <w:name w:val="Tekst dymka Znak"/>
    <w:basedOn w:val="5"/>
    <w:link w:val="7"/>
    <w:semiHidden/>
    <w:uiPriority w:val="99"/>
    <w:rPr>
      <w:rFonts w:ascii="Segoe UI" w:hAnsi="Segoe UI" w:eastAsia="Verdana" w:cs="Segoe UI"/>
      <w:sz w:val="18"/>
      <w:szCs w:val="18"/>
      <w:lang w:val="pl-PL"/>
    </w:rPr>
  </w:style>
  <w:style w:type="character" w:customStyle="1" w:styleId="24">
    <w:name w:val="Tekst komentarza Znak"/>
    <w:basedOn w:val="5"/>
    <w:link w:val="10"/>
    <w:semiHidden/>
    <w:qFormat/>
    <w:uiPriority w:val="99"/>
    <w:rPr>
      <w:rFonts w:ascii="Verdana" w:hAnsi="Verdana" w:eastAsia="Verdana" w:cs="Verdana"/>
      <w:sz w:val="20"/>
      <w:szCs w:val="20"/>
      <w:lang w:val="pl-PL"/>
    </w:rPr>
  </w:style>
  <w:style w:type="character" w:customStyle="1" w:styleId="25">
    <w:name w:val="Temat komentarza Znak"/>
    <w:basedOn w:val="24"/>
    <w:link w:val="11"/>
    <w:semiHidden/>
    <w:qFormat/>
    <w:uiPriority w:val="99"/>
    <w:rPr>
      <w:rFonts w:ascii="Verdana" w:hAnsi="Verdana" w:eastAsia="Verdana" w:cs="Verdana"/>
      <w:b/>
      <w:bCs/>
      <w:sz w:val="20"/>
      <w:szCs w:val="20"/>
      <w:lang w:val="pl-PL"/>
    </w:rPr>
  </w:style>
  <w:style w:type="character" w:customStyle="1" w:styleId="26">
    <w:name w:val="Nagłówek 2 Znak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pl-PL"/>
    </w:rPr>
  </w:style>
  <w:style w:type="character" w:customStyle="1" w:styleId="27">
    <w:name w:val="Nagłówek 3 Znak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pl-PL"/>
    </w:rPr>
  </w:style>
  <w:style w:type="paragraph" w:customStyle="1" w:styleId="28">
    <w:name w:val="ST T"/>
    <w:basedOn w:val="1"/>
    <w:link w:val="29"/>
    <w:qFormat/>
    <w:uiPriority w:val="1"/>
    <w:pPr>
      <w:spacing w:before="60" w:line="280" w:lineRule="atLeast"/>
      <w:contextualSpacing/>
      <w:jc w:val="both"/>
    </w:pPr>
    <w:rPr>
      <w:color w:val="000000"/>
      <w:sz w:val="18"/>
      <w:szCs w:val="18"/>
    </w:rPr>
  </w:style>
  <w:style w:type="character" w:customStyle="1" w:styleId="29">
    <w:name w:val="ST T Znak"/>
    <w:basedOn w:val="5"/>
    <w:link w:val="28"/>
    <w:uiPriority w:val="1"/>
    <w:rPr>
      <w:rFonts w:ascii="Verdana" w:hAnsi="Verdana" w:eastAsia="Verdana" w:cs="Verdana"/>
      <w:color w:val="000000"/>
      <w:sz w:val="18"/>
      <w:szCs w:val="18"/>
      <w:lang w:val="pl-P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DD0AB-E814-42D6-8741-1AF636B634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1459</Words>
  <Characters>8755</Characters>
  <Lines>72</Lines>
  <Paragraphs>20</Paragraphs>
  <TotalTime>0</TotalTime>
  <ScaleCrop>false</ScaleCrop>
  <LinksUpToDate>false</LinksUpToDate>
  <CharactersWithSpaces>10194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2022-11-16T14:07:00Z</dcterms:created>
  <dc:creator>Elżbieta Bukowska</dc:creator>
  <cp:lastModifiedBy>WPS_1704287441</cp:lastModifiedBy>
  <dcterms:modified xsi:type="dcterms:W3CDTF">2024-11-15T08:33:35Z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2021-07-15T00:00:00Z</vt:filetime>
  </property>
  <property fmtid="{D5CDD505-2E9C-101B-9397-08002B2CF9AE}" pid="5" name="MSIP_Label_b172001a-5ae3-41cb-841a-d0273f8e6817_Enabled">
    <vt:lpwstr>true</vt:lpwstr>
  </property>
  <property fmtid="{D5CDD505-2E9C-101B-9397-08002B2CF9AE}" pid="6" name="MSIP_Label_b172001a-5ae3-41cb-841a-d0273f8e6817_SetDate">
    <vt:lpwstr>2021-07-22T05:59:40Z</vt:lpwstr>
  </property>
  <property fmtid="{D5CDD505-2E9C-101B-9397-08002B2CF9AE}" pid="7" name="MSIP_Label_b172001a-5ae3-41cb-841a-d0273f8e6817_Method">
    <vt:lpwstr>Standard</vt:lpwstr>
  </property>
  <property fmtid="{D5CDD505-2E9C-101B-9397-08002B2CF9AE}" pid="8" name="MSIP_Label_b172001a-5ae3-41cb-841a-d0273f8e6817_Name">
    <vt:lpwstr>Public</vt:lpwstr>
  </property>
  <property fmtid="{D5CDD505-2E9C-101B-9397-08002B2CF9AE}" pid="9" name="MSIP_Label_b172001a-5ae3-41cb-841a-d0273f8e6817_SiteId">
    <vt:lpwstr>a43e0431-0a33-47e7-8758-14aa0084faef</vt:lpwstr>
  </property>
  <property fmtid="{D5CDD505-2E9C-101B-9397-08002B2CF9AE}" pid="10" name="MSIP_Label_b172001a-5ae3-41cb-841a-d0273f8e6817_ActionId">
    <vt:lpwstr>e5a25c2e-3ee5-4f08-a6a9-4e4f665f5705</vt:lpwstr>
  </property>
  <property fmtid="{D5CDD505-2E9C-101B-9397-08002B2CF9AE}" pid="11" name="MSIP_Label_b172001a-5ae3-41cb-841a-d0273f8e6817_ContentBits">
    <vt:lpwstr>0</vt:lpwstr>
  </property>
  <property fmtid="{D5CDD505-2E9C-101B-9397-08002B2CF9AE}" pid="12" name="KSOProductBuildVer">
    <vt:lpwstr>1045-12.2.0.18607</vt:lpwstr>
  </property>
  <property fmtid="{D5CDD505-2E9C-101B-9397-08002B2CF9AE}" pid="13" name="ICV">
    <vt:lpwstr>66770B5430F9439DA6A9E453C80E2190_12</vt:lpwstr>
  </property>
</Properties>
</file>